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087FAE" w:rsidRPr="00087FAE" w:rsidRDefault="0043382F" w:rsidP="00AC4C4B">
      <w:pPr>
        <w:pStyle w:val="a3"/>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2CB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997A41">
        <w:rPr>
          <w:rFonts w:cs="Arial" w:hint="eastAsia"/>
          <w:bCs/>
          <w:sz w:val="28"/>
          <w:szCs w:val="24"/>
          <w:lang w:val="en-US" w:eastAsia="zh-TW"/>
        </w:rPr>
        <w:t>#106</w:t>
      </w:r>
      <w:r w:rsidR="008B1E6B">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731864">
        <w:rPr>
          <w:rFonts w:eastAsia="MS Mincho" w:cs="Arial"/>
          <w:bCs/>
          <w:sz w:val="28"/>
          <w:szCs w:val="24"/>
          <w:lang w:val="en-US"/>
        </w:rPr>
        <w:t>R1-2107504</w:t>
      </w:r>
    </w:p>
    <w:p w:rsidR="00F44324" w:rsidRPr="005D39ED" w:rsidRDefault="00F44324" w:rsidP="00F443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Pr="005D39ED">
        <w:rPr>
          <w:rFonts w:ascii="Arial" w:eastAsia="MS Mincho" w:hAnsi="Arial" w:cs="Arial"/>
          <w:b/>
          <w:bCs/>
          <w:sz w:val="28"/>
          <w:lang w:eastAsia="ja-JP"/>
        </w:rPr>
        <w:t xml:space="preserve">Meeting, </w:t>
      </w:r>
      <w:r w:rsidR="00997A41">
        <w:rPr>
          <w:rFonts w:ascii="Arial" w:eastAsia="MS Mincho" w:hAnsi="Arial" w:cs="Arial"/>
          <w:b/>
          <w:bCs/>
          <w:sz w:val="28"/>
          <w:szCs w:val="24"/>
          <w:lang w:val="en-US"/>
        </w:rPr>
        <w:t>Aug. 16</w:t>
      </w:r>
      <w:r w:rsidR="005D39ED" w:rsidRPr="005D39ED">
        <w:rPr>
          <w:rFonts w:ascii="Arial" w:eastAsia="MS Mincho" w:hAnsi="Arial" w:cs="Arial"/>
          <w:b/>
          <w:bCs/>
          <w:sz w:val="28"/>
          <w:szCs w:val="24"/>
          <w:vertAlign w:val="superscript"/>
          <w:lang w:val="en-US"/>
        </w:rPr>
        <w:t>th</w:t>
      </w:r>
      <w:r w:rsidR="00997A41">
        <w:rPr>
          <w:rFonts w:ascii="Arial" w:eastAsia="MS Mincho" w:hAnsi="Arial" w:cs="Arial"/>
          <w:b/>
          <w:bCs/>
          <w:sz w:val="28"/>
          <w:szCs w:val="24"/>
          <w:lang w:val="en-US"/>
        </w:rPr>
        <w:t xml:space="preserve"> – Aug.</w:t>
      </w:r>
      <w:r w:rsidR="005D39ED" w:rsidRPr="005D39ED">
        <w:rPr>
          <w:rFonts w:ascii="Arial" w:eastAsia="MS Mincho" w:hAnsi="Arial" w:cs="Arial"/>
          <w:b/>
          <w:bCs/>
          <w:sz w:val="28"/>
          <w:szCs w:val="24"/>
          <w:lang w:val="en-US"/>
        </w:rPr>
        <w:t xml:space="preserve"> 27</w:t>
      </w:r>
      <w:r w:rsidR="005D39ED" w:rsidRPr="005D39ED">
        <w:rPr>
          <w:rFonts w:ascii="Arial" w:eastAsia="MS Mincho" w:hAnsi="Arial" w:cs="Arial"/>
          <w:b/>
          <w:bCs/>
          <w:sz w:val="28"/>
          <w:szCs w:val="24"/>
          <w:vertAlign w:val="superscript"/>
          <w:lang w:val="en-US"/>
        </w:rPr>
        <w:t>th</w:t>
      </w:r>
      <w:r w:rsidRPr="005D39ED">
        <w:rPr>
          <w:rFonts w:ascii="Arial" w:eastAsia="MS Mincho" w:hAnsi="Arial" w:cs="Arial"/>
          <w:b/>
          <w:bCs/>
          <w:sz w:val="28"/>
          <w:lang w:eastAsia="ja-JP"/>
        </w:rPr>
        <w:t>, 2021</w:t>
      </w:r>
    </w:p>
    <w:p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743B0">
        <w:rPr>
          <w:rFonts w:cs="Arial"/>
          <w:bCs/>
          <w:sz w:val="28"/>
          <w:szCs w:val="24"/>
          <w:lang w:val="en-US" w:eastAsia="zh-TW"/>
        </w:rPr>
        <w:t>7.1</w:t>
      </w:r>
    </w:p>
    <w:p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732E2" w:rsidRPr="00112601" w:rsidRDefault="006F1C7C" w:rsidP="00087FAE">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Title:</w:t>
      </w:r>
      <w:r w:rsidRPr="00112601">
        <w:rPr>
          <w:rFonts w:eastAsia="MS Mincho" w:cs="Arial" w:hint="eastAsia"/>
          <w:bCs/>
          <w:sz w:val="28"/>
          <w:szCs w:val="24"/>
          <w:lang w:val="en-US"/>
        </w:rPr>
        <w:t xml:space="preserve"> </w:t>
      </w:r>
      <w:r w:rsidR="003A05DF" w:rsidRPr="003A05DF">
        <w:rPr>
          <w:rFonts w:eastAsia="MS Mincho" w:cs="Arial"/>
          <w:bCs/>
          <w:sz w:val="28"/>
          <w:szCs w:val="24"/>
          <w:lang w:val="en-US"/>
        </w:rPr>
        <w:t>On two DCIs</w:t>
      </w:r>
      <w:r w:rsidR="003A05DF">
        <w:rPr>
          <w:rFonts w:eastAsia="MS Mincho" w:cs="Arial"/>
          <w:bCs/>
          <w:sz w:val="28"/>
          <w:szCs w:val="24"/>
          <w:lang w:val="en-US"/>
        </w:rPr>
        <w:t xml:space="preserve"> in the same slot for BWP switc</w:t>
      </w:r>
      <w:r w:rsidR="007356FB" w:rsidRPr="007356FB">
        <w:rPr>
          <w:rFonts w:eastAsia="MS Mincho" w:cs="Arial"/>
          <w:bCs/>
          <w:sz w:val="28"/>
          <w:szCs w:val="24"/>
          <w:lang w:val="en-US"/>
        </w:rPr>
        <w:t>h</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1D240A">
        <w:rPr>
          <w:rFonts w:ascii="Arial" w:eastAsia="MS Mincho" w:hAnsi="Arial" w:cs="Arial"/>
          <w:b/>
          <w:bCs/>
          <w:noProof/>
          <w:sz w:val="28"/>
          <w:szCs w:val="24"/>
          <w:lang w:val="en-US"/>
        </w:rPr>
        <w:t xml:space="preserve"> and decision</w:t>
      </w:r>
    </w:p>
    <w:p w:rsidR="00ED76D1" w:rsidRPr="007B24DF" w:rsidRDefault="0015243D" w:rsidP="00ED76D1">
      <w:pPr>
        <w:pStyle w:val="1"/>
        <w:rPr>
          <w:rFonts w:cs="Arial"/>
          <w:color w:val="000000"/>
        </w:rPr>
      </w:pPr>
      <w:r w:rsidRPr="007B24DF">
        <w:rPr>
          <w:rFonts w:cs="Arial"/>
          <w:color w:val="000000"/>
        </w:rPr>
        <w:t>Introduction</w:t>
      </w:r>
    </w:p>
    <w:p w:rsidR="00992F11" w:rsidRPr="005F52D4" w:rsidRDefault="00992F11" w:rsidP="005F52D4">
      <w:pPr>
        <w:spacing w:after="0"/>
        <w:rPr>
          <w:bCs/>
        </w:rPr>
      </w:pPr>
      <w:r w:rsidRPr="00992F11">
        <w:rPr>
          <w:rFonts w:hint="eastAsia"/>
          <w:bCs/>
        </w:rPr>
        <w:t>In this contribution, we discuss</w:t>
      </w:r>
      <w:r w:rsidRPr="00992F11">
        <w:rPr>
          <w:bCs/>
        </w:rPr>
        <w:t xml:space="preserve"> </w:t>
      </w:r>
      <w:r>
        <w:rPr>
          <w:rFonts w:hint="eastAsia"/>
          <w:bCs/>
        </w:rPr>
        <w:t xml:space="preserve">the issue about </w:t>
      </w:r>
      <w:r w:rsidR="008E6E0A">
        <w:rPr>
          <w:rFonts w:hint="eastAsia"/>
          <w:bCs/>
          <w:lang w:eastAsia="zh-TW"/>
        </w:rPr>
        <w:t xml:space="preserve">when there are two </w:t>
      </w:r>
      <w:r w:rsidR="008E6E0A">
        <w:rPr>
          <w:bCs/>
          <w:lang w:eastAsia="zh-TW"/>
        </w:rPr>
        <w:t xml:space="preserve">DCIs (Ex. </w:t>
      </w:r>
      <w:r w:rsidR="008E6E0A">
        <w:t>DCI 1_1 and DCI 0_1</w:t>
      </w:r>
      <w:r w:rsidR="008E6E0A">
        <w:rPr>
          <w:bCs/>
          <w:lang w:eastAsia="zh-TW"/>
        </w:rPr>
        <w:t>) in the same sl</w:t>
      </w:r>
      <w:r w:rsidR="00370B23">
        <w:rPr>
          <w:bCs/>
          <w:lang w:eastAsia="zh-TW"/>
        </w:rPr>
        <w:t xml:space="preserve">ot both indicating </w:t>
      </w:r>
      <w:r w:rsidR="008E6E0A">
        <w:rPr>
          <w:bCs/>
          <w:lang w:eastAsia="zh-TW"/>
        </w:rPr>
        <w:t>BWP switch</w:t>
      </w:r>
      <w:r w:rsidR="00591516">
        <w:rPr>
          <w:bCs/>
          <w:lang w:eastAsia="zh-TW"/>
        </w:rPr>
        <w:t xml:space="preserve"> for the same cell</w:t>
      </w:r>
      <w:r w:rsidRPr="00992F11">
        <w:rPr>
          <w:rFonts w:hint="eastAsia"/>
          <w:bCs/>
        </w:rPr>
        <w:t xml:space="preserve">. </w:t>
      </w:r>
      <w:r w:rsidRPr="00992F11">
        <w:rPr>
          <w:bCs/>
        </w:rPr>
        <w:t xml:space="preserve">A recommended </w:t>
      </w:r>
      <w:r w:rsidR="008E6E0A">
        <w:rPr>
          <w:rFonts w:hint="eastAsia"/>
          <w:bCs/>
        </w:rPr>
        <w:t>conclusion</w:t>
      </w:r>
      <w:r w:rsidR="008E6E0A">
        <w:rPr>
          <w:bCs/>
        </w:rPr>
        <w:t xml:space="preserve"> to clarify RAN1’s understanding for this issue</w:t>
      </w:r>
      <w:r w:rsidRPr="00992F11">
        <w:rPr>
          <w:rFonts w:hint="eastAsia"/>
          <w:bCs/>
        </w:rPr>
        <w:t xml:space="preserve"> </w:t>
      </w:r>
      <w:r w:rsidRPr="00992F11">
        <w:rPr>
          <w:bCs/>
        </w:rPr>
        <w:t xml:space="preserve">is </w:t>
      </w:r>
      <w:r w:rsidRPr="00992F11">
        <w:rPr>
          <w:rFonts w:hint="eastAsia"/>
          <w:bCs/>
        </w:rPr>
        <w:t>provided.</w:t>
      </w:r>
    </w:p>
    <w:p w:rsidR="003F232D" w:rsidRPr="00467103" w:rsidRDefault="00955A67" w:rsidP="00955A67">
      <w:pPr>
        <w:pStyle w:val="1"/>
        <w:rPr>
          <w:rFonts w:cs="Arial"/>
          <w:color w:val="000000"/>
        </w:rPr>
      </w:pPr>
      <w:r>
        <w:rPr>
          <w:rFonts w:cs="Arial"/>
          <w:color w:val="000000"/>
        </w:rPr>
        <w:t xml:space="preserve">Two </w:t>
      </w:r>
      <w:r w:rsidRPr="00955A67">
        <w:t>DCIs in the same slot for BWP switch</w:t>
      </w:r>
    </w:p>
    <w:p w:rsidR="0050440B" w:rsidRDefault="0050440B" w:rsidP="00023A24">
      <w:pPr>
        <w:spacing w:after="0"/>
        <w:rPr>
          <w:bCs/>
        </w:rPr>
      </w:pPr>
      <w:r>
        <w:rPr>
          <w:bCs/>
        </w:rPr>
        <w:t>I</w:t>
      </w:r>
      <w:r w:rsidR="00955A67">
        <w:rPr>
          <w:bCs/>
        </w:rPr>
        <w:t>n current spec, it is not clear what the expected UE behaviour is when NW sends two DCIs, Ex.</w:t>
      </w:r>
      <w:r w:rsidR="00955A67" w:rsidRPr="00955A67">
        <w:rPr>
          <w:bCs/>
        </w:rPr>
        <w:t xml:space="preserve"> DCI 1_1 and DCI 0_1</w:t>
      </w:r>
      <w:r w:rsidR="00955A67">
        <w:rPr>
          <w:bCs/>
        </w:rPr>
        <w:t>,</w:t>
      </w:r>
      <w:r w:rsidR="00955A67" w:rsidRPr="00955A67">
        <w:rPr>
          <w:bCs/>
        </w:rPr>
        <w:t xml:space="preserve"> </w:t>
      </w:r>
      <w:r w:rsidR="00955A67">
        <w:rPr>
          <w:bCs/>
        </w:rPr>
        <w:t>in</w:t>
      </w:r>
      <w:r w:rsidR="00955A67" w:rsidRPr="00955A67">
        <w:rPr>
          <w:bCs/>
        </w:rPr>
        <w:t xml:space="preserve"> the same slot </w:t>
      </w:r>
      <w:r w:rsidR="00955A67">
        <w:rPr>
          <w:bCs/>
        </w:rPr>
        <w:t>for BWP change</w:t>
      </w:r>
      <w:r w:rsidR="00591516">
        <w:rPr>
          <w:bCs/>
        </w:rPr>
        <w:t xml:space="preserve"> for the same cell</w:t>
      </w:r>
      <w:r w:rsidR="00955A67">
        <w:rPr>
          <w:bCs/>
        </w:rPr>
        <w:t>. An example is shown in Fig. 1 below.</w:t>
      </w:r>
    </w:p>
    <w:p w:rsidR="00955A67" w:rsidRDefault="00955A67" w:rsidP="00023A24">
      <w:pPr>
        <w:spacing w:after="0"/>
        <w:rPr>
          <w:bCs/>
        </w:rPr>
      </w:pPr>
    </w:p>
    <w:p w:rsidR="00955A67" w:rsidRDefault="00FC5932" w:rsidP="00023A24">
      <w:pPr>
        <w:spacing w:after="0"/>
        <w:rPr>
          <w:bCs/>
        </w:rPr>
      </w:pPr>
      <w:r>
        <w:rPr>
          <w:noProof/>
          <w:lang w:val="en-US" w:eastAsia="zh-TW"/>
        </w:rPr>
        <w:drawing>
          <wp:inline distT="0" distB="0" distL="0" distR="0" wp14:anchorId="2CF39F94" wp14:editId="62F19566">
            <wp:extent cx="6122035" cy="207645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076450"/>
                    </a:xfrm>
                    <a:prstGeom prst="rect">
                      <a:avLst/>
                    </a:prstGeom>
                  </pic:spPr>
                </pic:pic>
              </a:graphicData>
            </a:graphic>
          </wp:inline>
        </w:drawing>
      </w:r>
    </w:p>
    <w:p w:rsidR="00FC5932" w:rsidRPr="00FC5932" w:rsidRDefault="00FC5932" w:rsidP="00FC5932">
      <w:pPr>
        <w:spacing w:after="0"/>
        <w:jc w:val="center"/>
        <w:rPr>
          <w:b/>
          <w:bCs/>
        </w:rPr>
      </w:pPr>
      <w:r w:rsidRPr="00FC5932">
        <w:rPr>
          <w:b/>
          <w:bCs/>
        </w:rPr>
        <w:t>Figure 1. An example of two DCIs in the same slot for BWP switch</w:t>
      </w:r>
      <w:r w:rsidR="00591516">
        <w:rPr>
          <w:b/>
          <w:bCs/>
        </w:rPr>
        <w:t xml:space="preserve"> for the same cell</w:t>
      </w:r>
    </w:p>
    <w:p w:rsidR="00FC5932" w:rsidRDefault="00FC5932" w:rsidP="00023A24">
      <w:pPr>
        <w:spacing w:after="0"/>
        <w:rPr>
          <w:bCs/>
        </w:rPr>
      </w:pPr>
    </w:p>
    <w:p w:rsidR="0050440B" w:rsidRPr="00037305" w:rsidRDefault="00FC5932" w:rsidP="00023A24">
      <w:pPr>
        <w:spacing w:after="0"/>
        <w:rPr>
          <w:lang w:eastAsia="x-none"/>
        </w:rPr>
      </w:pPr>
      <w:r>
        <w:rPr>
          <w:lang w:eastAsia="x-none"/>
        </w:rPr>
        <w:t xml:space="preserve">In Fig. 1, </w:t>
      </w:r>
      <w:r w:rsidR="00E94817">
        <w:rPr>
          <w:lang w:eastAsia="x-none"/>
        </w:rPr>
        <w:t xml:space="preserve">UE receives </w:t>
      </w:r>
      <w:r w:rsidR="00E94817" w:rsidRPr="00E94817">
        <w:rPr>
          <w:lang w:eastAsia="x-none"/>
        </w:rPr>
        <w:t>DCI</w:t>
      </w:r>
      <w:r w:rsidR="00E94817">
        <w:rPr>
          <w:lang w:eastAsia="x-none"/>
        </w:rPr>
        <w:t xml:space="preserve"> </w:t>
      </w:r>
      <w:r w:rsidR="00E94817" w:rsidRPr="00E94817">
        <w:rPr>
          <w:lang w:eastAsia="x-none"/>
        </w:rPr>
        <w:t>1_1 with k0=5 and DCI</w:t>
      </w:r>
      <w:r w:rsidR="00E94817">
        <w:rPr>
          <w:lang w:eastAsia="x-none"/>
        </w:rPr>
        <w:t xml:space="preserve"> </w:t>
      </w:r>
      <w:r w:rsidR="00E94817" w:rsidRPr="00E94817">
        <w:rPr>
          <w:lang w:eastAsia="x-none"/>
        </w:rPr>
        <w:t>0_1 with k2=7 at the same slot</w:t>
      </w:r>
      <w:r w:rsidR="00037305">
        <w:rPr>
          <w:lang w:eastAsia="x-none"/>
        </w:rPr>
        <w:t xml:space="preserve"> b</w:t>
      </w:r>
      <w:r w:rsidR="00037305">
        <w:rPr>
          <w:bCs/>
        </w:rPr>
        <w:t xml:space="preserve">oth indicating </w:t>
      </w:r>
      <w:r w:rsidR="00037305">
        <w:rPr>
          <w:bCs/>
        </w:rPr>
        <w:t>BWP change</w:t>
      </w:r>
      <w:r w:rsidR="00591516">
        <w:rPr>
          <w:bCs/>
        </w:rPr>
        <w:t xml:space="preserve"> for the same cell</w:t>
      </w:r>
      <w:r w:rsidR="00E94817">
        <w:rPr>
          <w:lang w:eastAsia="x-none"/>
        </w:rPr>
        <w:t xml:space="preserve">. It is not </w:t>
      </w:r>
      <w:r w:rsidR="00E94817">
        <w:rPr>
          <w:bCs/>
        </w:rPr>
        <w:t>clear what the expected UE behaviour is for the following cases:</w:t>
      </w:r>
    </w:p>
    <w:p w:rsidR="00E94817" w:rsidRDefault="00E94817" w:rsidP="00023A24">
      <w:pPr>
        <w:spacing w:after="0"/>
        <w:rPr>
          <w:bCs/>
        </w:rPr>
      </w:pPr>
    </w:p>
    <w:p w:rsidR="00E94817" w:rsidRPr="00E94817" w:rsidRDefault="00E94817" w:rsidP="00E94817">
      <w:pPr>
        <w:spacing w:after="0"/>
        <w:jc w:val="center"/>
        <w:rPr>
          <w:b/>
          <w:bCs/>
        </w:rPr>
      </w:pPr>
      <w:r w:rsidRPr="00E94817">
        <w:rPr>
          <w:b/>
          <w:bCs/>
        </w:rPr>
        <w:t>Table I</w:t>
      </w:r>
      <w:r>
        <w:rPr>
          <w:b/>
          <w:bCs/>
        </w:rPr>
        <w:t xml:space="preserve">: Cases for UE receiving two DCIs </w:t>
      </w:r>
      <w:r w:rsidRPr="00E94817">
        <w:rPr>
          <w:b/>
          <w:bCs/>
        </w:rPr>
        <w:t>in the same slot both indicating BWP switch</w:t>
      </w:r>
      <w:r w:rsidR="00697F92">
        <w:rPr>
          <w:b/>
          <w:bCs/>
        </w:rPr>
        <w:t xml:space="preserve"> </w:t>
      </w:r>
      <w:r w:rsidR="00591516">
        <w:rPr>
          <w:b/>
          <w:bCs/>
        </w:rPr>
        <w:t>for the same cell</w:t>
      </w:r>
    </w:p>
    <w:p w:rsidR="00E94817" w:rsidRDefault="00E94817" w:rsidP="00E94817">
      <w:pPr>
        <w:spacing w:after="0"/>
        <w:jc w:val="center"/>
        <w:rPr>
          <w:bCs/>
        </w:rPr>
      </w:pPr>
    </w:p>
    <w:tbl>
      <w:tblPr>
        <w:tblW w:w="0" w:type="auto"/>
        <w:jc w:val="center"/>
        <w:tblCellMar>
          <w:left w:w="0" w:type="dxa"/>
          <w:right w:w="0" w:type="dxa"/>
        </w:tblCellMar>
        <w:tblLook w:val="04A0" w:firstRow="1" w:lastRow="0" w:firstColumn="1" w:lastColumn="0" w:noHBand="0" w:noVBand="1"/>
      </w:tblPr>
      <w:tblGrid>
        <w:gridCol w:w="930"/>
        <w:gridCol w:w="3171"/>
        <w:gridCol w:w="2268"/>
        <w:gridCol w:w="2552"/>
      </w:tblGrid>
      <w:tr w:rsidR="00E94817" w:rsidTr="00E94817">
        <w:trPr>
          <w:jc w:val="center"/>
        </w:trPr>
        <w:tc>
          <w:tcPr>
            <w:tcW w:w="930"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E94817" w:rsidRPr="00E94817" w:rsidRDefault="00E94817">
            <w:pPr>
              <w:rPr>
                <w:b/>
                <w:bCs/>
                <w:sz w:val="18"/>
                <w:szCs w:val="18"/>
                <w:lang w:val="en-US" w:eastAsia="zh-TW"/>
              </w:rPr>
            </w:pPr>
            <w:r w:rsidRPr="00E94817">
              <w:rPr>
                <w:b/>
                <w:bCs/>
                <w:sz w:val="18"/>
                <w:szCs w:val="18"/>
                <w:lang w:eastAsia="zh-TW"/>
              </w:rPr>
              <w:t>Duplex</w:t>
            </w:r>
          </w:p>
        </w:tc>
        <w:tc>
          <w:tcPr>
            <w:tcW w:w="317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E94817" w:rsidRPr="00E94817" w:rsidRDefault="00E94817">
            <w:pPr>
              <w:rPr>
                <w:b/>
                <w:bCs/>
                <w:sz w:val="18"/>
                <w:szCs w:val="18"/>
                <w:lang w:eastAsia="zh-TW"/>
              </w:rPr>
            </w:pPr>
            <w:r w:rsidRPr="00E94817">
              <w:rPr>
                <w:b/>
                <w:bCs/>
                <w:sz w:val="18"/>
                <w:szCs w:val="18"/>
                <w:lang w:eastAsia="zh-TW"/>
              </w:rPr>
              <w:t>Both DCIs indicating the same or different DL/UL BWP pairs</w:t>
            </w:r>
          </w:p>
        </w:tc>
        <w:tc>
          <w:tcPr>
            <w:tcW w:w="226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E94817" w:rsidRPr="00E94817" w:rsidRDefault="00E94817">
            <w:pPr>
              <w:rPr>
                <w:b/>
                <w:bCs/>
                <w:sz w:val="18"/>
                <w:szCs w:val="18"/>
                <w:lang w:eastAsia="zh-TW"/>
              </w:rPr>
            </w:pPr>
            <w:r w:rsidRPr="00E94817">
              <w:rPr>
                <w:b/>
                <w:bCs/>
                <w:sz w:val="18"/>
                <w:szCs w:val="18"/>
                <w:lang w:eastAsia="zh-TW"/>
              </w:rPr>
              <w:t>K0 = K2?</w:t>
            </w:r>
          </w:p>
          <w:p w:rsidR="00E94817" w:rsidRPr="00E94817" w:rsidRDefault="00E94817">
            <w:pPr>
              <w:rPr>
                <w:b/>
                <w:bCs/>
                <w:sz w:val="18"/>
                <w:szCs w:val="18"/>
                <w:lang w:eastAsia="zh-TW"/>
              </w:rPr>
            </w:pPr>
            <w:r w:rsidRPr="00E94817">
              <w:rPr>
                <w:b/>
                <w:bCs/>
                <w:sz w:val="18"/>
                <w:szCs w:val="18"/>
                <w:lang w:eastAsia="zh-TW"/>
              </w:rPr>
              <w:t>(Same SCS for DL/UL)</w:t>
            </w:r>
          </w:p>
        </w:tc>
        <w:tc>
          <w:tcPr>
            <w:tcW w:w="255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E94817" w:rsidRPr="00E94817" w:rsidRDefault="00E94817">
            <w:pPr>
              <w:rPr>
                <w:b/>
                <w:bCs/>
                <w:sz w:val="18"/>
                <w:szCs w:val="18"/>
                <w:lang w:eastAsia="zh-TW"/>
              </w:rPr>
            </w:pPr>
            <w:r w:rsidRPr="00E94817">
              <w:rPr>
                <w:b/>
                <w:bCs/>
                <w:sz w:val="18"/>
                <w:szCs w:val="18"/>
                <w:lang w:eastAsia="zh-TW"/>
              </w:rPr>
              <w:t>Violate Spec?</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Case 1: TDD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Same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Yes</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Case 2: TDD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Same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Case 3: TDD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Different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Yes</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Case 4: TDD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Different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Case 5: FDD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N/A</w:t>
            </w:r>
          </w:p>
          <w:p w:rsidR="00E94817" w:rsidRPr="00E94817" w:rsidRDefault="00E94817">
            <w:pPr>
              <w:rPr>
                <w:sz w:val="18"/>
                <w:szCs w:val="18"/>
                <w:lang w:eastAsia="zh-TW"/>
              </w:rPr>
            </w:pPr>
            <w:r w:rsidRPr="00E94817">
              <w:rPr>
                <w:sz w:val="18"/>
                <w:szCs w:val="18"/>
                <w:lang w:eastAsia="zh-TW"/>
              </w:rPr>
              <w:t>(no DL/UL BWP pairing in FDD)</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Yes</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lastRenderedPageBreak/>
              <w:t>Case 6:</w:t>
            </w:r>
          </w:p>
          <w:p w:rsidR="00E94817" w:rsidRPr="00E94817" w:rsidRDefault="00E94817">
            <w:pPr>
              <w:rPr>
                <w:sz w:val="18"/>
                <w:szCs w:val="18"/>
                <w:lang w:eastAsia="zh-TW"/>
              </w:rPr>
            </w:pPr>
            <w:r w:rsidRPr="00E94817">
              <w:rPr>
                <w:sz w:val="18"/>
                <w:szCs w:val="18"/>
                <w:lang w:eastAsia="zh-TW"/>
              </w:rPr>
              <w:t>FDD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N/A</w:t>
            </w:r>
          </w:p>
          <w:p w:rsidR="00E94817" w:rsidRPr="00E94817" w:rsidRDefault="00E94817">
            <w:pPr>
              <w:rPr>
                <w:sz w:val="18"/>
                <w:szCs w:val="18"/>
                <w:lang w:eastAsia="zh-TW"/>
              </w:rPr>
            </w:pPr>
            <w:r w:rsidRPr="00E94817">
              <w:rPr>
                <w:sz w:val="18"/>
                <w:szCs w:val="18"/>
                <w:lang w:eastAsia="zh-TW"/>
              </w:rPr>
              <w:t>(no DL/UL BWP pairing in FDD)</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bl>
    <w:p w:rsidR="00E94817" w:rsidRDefault="00E94817" w:rsidP="00E94817">
      <w:pPr>
        <w:rPr>
          <w:rFonts w:ascii="Calibri" w:hAnsi="Calibri" w:cs="Calibri"/>
          <w:sz w:val="22"/>
          <w:szCs w:val="22"/>
          <w:lang w:eastAsia="zh-TW"/>
        </w:rPr>
      </w:pPr>
    </w:p>
    <w:p w:rsidR="00E94817" w:rsidRDefault="00E94817" w:rsidP="00023A24">
      <w:pPr>
        <w:spacing w:after="0"/>
        <w:rPr>
          <w:lang w:eastAsia="x-none"/>
        </w:rPr>
      </w:pPr>
      <w:r w:rsidRPr="00E720D4">
        <w:rPr>
          <w:rFonts w:hint="eastAsia"/>
          <w:b/>
          <w:u w:val="single"/>
          <w:lang w:eastAsia="zh-TW"/>
        </w:rPr>
        <w:t>Observation</w:t>
      </w:r>
      <w:r w:rsidRPr="00E720D4">
        <w:rPr>
          <w:b/>
          <w:u w:val="single"/>
        </w:rPr>
        <w:t xml:space="preserve"> 1</w:t>
      </w:r>
      <w:r>
        <w:rPr>
          <w:b/>
        </w:rPr>
        <w:t xml:space="preserve">: </w:t>
      </w:r>
      <w:r w:rsidRPr="00E94817">
        <w:rPr>
          <w:b/>
        </w:rPr>
        <w:t xml:space="preserve">In current spec, it is not clear what the expected UE behaviour is when </w:t>
      </w:r>
      <w:r w:rsidR="00037305">
        <w:rPr>
          <w:b/>
        </w:rPr>
        <w:t>UE receives</w:t>
      </w:r>
      <w:r w:rsidRPr="00E94817">
        <w:rPr>
          <w:b/>
        </w:rPr>
        <w:t xml:space="preserve"> two DCIs, Ex. DCI 1_1 and DCI 0_1, in the same slot for BWP change for the same carrier. An </w:t>
      </w:r>
      <w:r>
        <w:rPr>
          <w:b/>
        </w:rPr>
        <w:t>example is shown i</w:t>
      </w:r>
      <w:r w:rsidR="0019549E">
        <w:rPr>
          <w:b/>
        </w:rPr>
        <w:t>n Fig. 1 and 6 possible cases are</w:t>
      </w:r>
      <w:r>
        <w:rPr>
          <w:b/>
        </w:rPr>
        <w:t xml:space="preserve"> shown in Table I.</w:t>
      </w:r>
    </w:p>
    <w:p w:rsidR="003A05DF" w:rsidRDefault="003A05DF" w:rsidP="00023A24">
      <w:pPr>
        <w:spacing w:after="0"/>
        <w:rPr>
          <w:bCs/>
        </w:rPr>
      </w:pPr>
    </w:p>
    <w:p w:rsidR="0019549E" w:rsidRDefault="00FC73B6" w:rsidP="00023A24">
      <w:pPr>
        <w:spacing w:after="0"/>
        <w:rPr>
          <w:bCs/>
        </w:rPr>
      </w:pPr>
      <w:r>
        <w:rPr>
          <w:bCs/>
        </w:rPr>
        <w:t>In current spec 38.213 [1] Chapter 12, the following UE behaviours related to DCI-triggered BWP switch are specified:</w:t>
      </w:r>
    </w:p>
    <w:p w:rsidR="00FC73B6" w:rsidRDefault="00FC73B6" w:rsidP="00023A24">
      <w:pPr>
        <w:spacing w:after="0"/>
        <w:rPr>
          <w:bCs/>
        </w:rPr>
      </w:pPr>
      <w:r w:rsidRPr="00FC73B6">
        <w:rPr>
          <w:bCs/>
          <w:noProof/>
          <w:lang w:val="en-US" w:eastAsia="zh-TW"/>
        </w:rPr>
        <mc:AlternateContent>
          <mc:Choice Requires="wps">
            <w:drawing>
              <wp:anchor distT="45720" distB="45720" distL="114300" distR="114300" simplePos="0" relativeHeight="251659776" behindDoc="0" locked="0" layoutInCell="1" allowOverlap="1">
                <wp:simplePos x="0" y="0"/>
                <wp:positionH relativeFrom="margin">
                  <wp:align>left</wp:align>
                </wp:positionH>
                <wp:positionV relativeFrom="paragraph">
                  <wp:posOffset>193675</wp:posOffset>
                </wp:positionV>
                <wp:extent cx="5964555" cy="1404620"/>
                <wp:effectExtent l="0" t="0" r="1714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4555" cy="1404620"/>
                        </a:xfrm>
                        <a:prstGeom prst="rect">
                          <a:avLst/>
                        </a:prstGeom>
                        <a:solidFill>
                          <a:srgbClr val="FFFFFF"/>
                        </a:solidFill>
                        <a:ln w="9525">
                          <a:solidFill>
                            <a:srgbClr val="000000"/>
                          </a:solidFill>
                          <a:miter lim="800000"/>
                          <a:headEnd/>
                          <a:tailEnd/>
                        </a:ln>
                      </wps:spPr>
                      <wps:txbx>
                        <w:txbxContent>
                          <w:p w:rsidR="001F5CD7" w:rsidRPr="00A24F88" w:rsidRDefault="001F5CD7" w:rsidP="001F5CD7">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rsidR="00FC73B6" w:rsidRPr="001F5CD7" w:rsidRDefault="001F5CD7" w:rsidP="001F5CD7">
                            <w:r w:rsidRPr="00A24F88">
                              <w:t xml:space="preserve">If a UE detects </w:t>
                            </w:r>
                            <w:r w:rsidRPr="00A24F88">
                              <w:rPr>
                                <w:lang w:val="en-US"/>
                              </w:rPr>
                              <w:t xml:space="preserve">a </w:t>
                            </w:r>
                            <w:r w:rsidRPr="00A24F88">
                              <w:t xml:space="preserve">DCI format </w:t>
                            </w:r>
                            <w:r>
                              <w:rPr>
                                <w:lang w:eastAsia="zh-TW"/>
                              </w:rPr>
                              <w:t xml:space="preserve">with a BWP indicator field that </w:t>
                            </w:r>
                            <w:r w:rsidRPr="00A24F88">
                              <w:t>indicat</w:t>
                            </w:r>
                            <w:r>
                              <w:t>es</w:t>
                            </w:r>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w:t>
                            </w:r>
                            <w:r>
                              <w:t>gnment field in the DCI format.</w:t>
                            </w:r>
                          </w:p>
                          <w:p w:rsidR="00FC73B6" w:rsidRPr="001F5CD7" w:rsidRDefault="001F5CD7" w:rsidP="001F5CD7">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15.25pt;width:469.65pt;height:110.6pt;z-index:2516597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">
                <v:textbox style="mso-fit-shape-to-text:t">
                  <w:txbxContent>
                    <w:p w:rsidR="001F5CD7" w:rsidRPr="00A24F88" w:rsidRDefault="001F5CD7" w:rsidP="001F5CD7">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rsidR="00FC73B6" w:rsidRPr="001F5CD7" w:rsidRDefault="001F5CD7" w:rsidP="001F5CD7">
                      <w:r w:rsidRPr="00A24F88">
                        <w:t xml:space="preserve">If a UE detects </w:t>
                      </w:r>
                      <w:r w:rsidRPr="00A24F88">
                        <w:rPr>
                          <w:lang w:val="en-US"/>
                        </w:rPr>
                        <w:t xml:space="preserve">a </w:t>
                      </w:r>
                      <w:r w:rsidRPr="00A24F88">
                        <w:t xml:space="preserve">DCI format </w:t>
                      </w:r>
                      <w:r>
                        <w:rPr>
                          <w:lang w:eastAsia="zh-TW"/>
                        </w:rPr>
                        <w:t xml:space="preserve">with a BWP indicator field that </w:t>
                      </w:r>
                      <w:r w:rsidRPr="00A24F88">
                        <w:t>indicat</w:t>
                      </w:r>
                      <w:r>
                        <w:t>es</w:t>
                      </w:r>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w:t>
                      </w:r>
                      <w:r>
                        <w:t>gnment field in the DCI format.</w:t>
                      </w:r>
                    </w:p>
                    <w:p w:rsidR="00FC73B6" w:rsidRPr="001F5CD7" w:rsidRDefault="001F5CD7" w:rsidP="001F5CD7">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txbxContent>
                </v:textbox>
                <w10:wrap type="square" anchorx="margin"/>
              </v:shape>
            </w:pict>
          </mc:Fallback>
        </mc:AlternateContent>
      </w:r>
    </w:p>
    <w:p w:rsidR="00FC73B6" w:rsidRDefault="00FC73B6" w:rsidP="00023A24">
      <w:pPr>
        <w:spacing w:after="0"/>
        <w:rPr>
          <w:bCs/>
        </w:rPr>
      </w:pPr>
    </w:p>
    <w:p w:rsidR="00FC73B6" w:rsidRDefault="005F50FC" w:rsidP="00023A24">
      <w:pPr>
        <w:spacing w:after="0"/>
        <w:rPr>
          <w:bCs/>
        </w:rPr>
      </w:pPr>
      <w:r>
        <w:rPr>
          <w:bCs/>
        </w:rPr>
        <w:t xml:space="preserve">With the </w:t>
      </w:r>
      <w:r>
        <w:rPr>
          <w:bCs/>
        </w:rPr>
        <w:t>38.213 [1] Chapter 12</w:t>
      </w:r>
      <w:r>
        <w:rPr>
          <w:bCs/>
        </w:rPr>
        <w:t xml:space="preserve"> spec quoted above, </w:t>
      </w:r>
      <w:r w:rsidR="00D47A23">
        <w:rPr>
          <w:bCs/>
        </w:rPr>
        <w:t xml:space="preserve">we have the following </w:t>
      </w:r>
      <w:r w:rsidR="00591516">
        <w:rPr>
          <w:bCs/>
        </w:rPr>
        <w:t>observation:</w:t>
      </w:r>
    </w:p>
    <w:p w:rsidR="00591516" w:rsidRDefault="00591516" w:rsidP="00023A24">
      <w:pPr>
        <w:spacing w:after="0"/>
        <w:rPr>
          <w:bCs/>
        </w:rPr>
      </w:pPr>
    </w:p>
    <w:p w:rsidR="00591516" w:rsidRPr="00591516" w:rsidRDefault="00591516" w:rsidP="00023A24">
      <w:pPr>
        <w:spacing w:after="0"/>
        <w:rPr>
          <w:b/>
        </w:rPr>
      </w:pPr>
      <w:r w:rsidRPr="00E720D4">
        <w:rPr>
          <w:rFonts w:hint="eastAsia"/>
          <w:b/>
          <w:u w:val="single"/>
          <w:lang w:eastAsia="zh-TW"/>
        </w:rPr>
        <w:t>Observation</w:t>
      </w:r>
      <w:r w:rsidRPr="00E720D4">
        <w:rPr>
          <w:b/>
          <w:u w:val="single"/>
        </w:rPr>
        <w:t xml:space="preserve"> </w:t>
      </w:r>
      <w:r w:rsidR="005B22E3">
        <w:rPr>
          <w:b/>
          <w:u w:val="single"/>
        </w:rPr>
        <w:t>2</w:t>
      </w:r>
      <w:r>
        <w:rPr>
          <w:b/>
        </w:rPr>
        <w:t xml:space="preserve">: </w:t>
      </w:r>
      <w:r w:rsidRPr="00E94817">
        <w:rPr>
          <w:b/>
        </w:rPr>
        <w:t>In current spec</w:t>
      </w:r>
      <w:r>
        <w:rPr>
          <w:b/>
        </w:rPr>
        <w:t xml:space="preserve"> </w:t>
      </w:r>
      <w:r w:rsidRPr="00591516">
        <w:rPr>
          <w:b/>
        </w:rPr>
        <w:t>38.213 [1] Chapter 12,</w:t>
      </w:r>
      <w:r>
        <w:rPr>
          <w:b/>
        </w:rPr>
        <w:t xml:space="preserve"> UE is not required to </w:t>
      </w:r>
      <w:r w:rsidRPr="00591516">
        <w:rPr>
          <w:b/>
        </w:rPr>
        <w:t xml:space="preserve">receive or transmit in the </w:t>
      </w:r>
      <w:r>
        <w:rPr>
          <w:b/>
        </w:rPr>
        <w:t>BW</w:t>
      </w:r>
      <w:r>
        <w:rPr>
          <w:rFonts w:hint="eastAsia"/>
          <w:b/>
          <w:lang w:eastAsia="zh-TW"/>
        </w:rPr>
        <w:t>P</w:t>
      </w:r>
      <w:r>
        <w:rPr>
          <w:b/>
          <w:lang w:eastAsia="zh-TW"/>
        </w:rPr>
        <w:t xml:space="preserve">-changing </w:t>
      </w:r>
      <w:r w:rsidRPr="00591516">
        <w:rPr>
          <w:b/>
        </w:rPr>
        <w:t>cell</w:t>
      </w:r>
      <w:r>
        <w:rPr>
          <w:b/>
        </w:rPr>
        <w:t xml:space="preserve"> from </w:t>
      </w:r>
      <w:r w:rsidRPr="005B22E3">
        <w:rPr>
          <w:b/>
        </w:rPr>
        <w:t>the end of the third sy</w:t>
      </w:r>
      <w:r w:rsidR="005B22E3">
        <w:rPr>
          <w:b/>
        </w:rPr>
        <w:t xml:space="preserve">mbol of a slot where </w:t>
      </w:r>
      <w:r w:rsidRPr="005B22E3">
        <w:rPr>
          <w:b/>
        </w:rPr>
        <w:t xml:space="preserve">UE receives the </w:t>
      </w:r>
      <w:r w:rsidR="005B22E3" w:rsidRPr="005B22E3">
        <w:rPr>
          <w:b/>
        </w:rPr>
        <w:t xml:space="preserve">DL/UL BWP change indication </w:t>
      </w:r>
      <w:r w:rsidRPr="005B22E3">
        <w:rPr>
          <w:b/>
        </w:rPr>
        <w:t>DCI</w:t>
      </w:r>
      <w:r w:rsidR="005B22E3">
        <w:rPr>
          <w:b/>
        </w:rPr>
        <w:t xml:space="preserve"> to the </w:t>
      </w:r>
      <w:r w:rsidR="005B22E3" w:rsidRPr="005B22E3">
        <w:rPr>
          <w:b/>
        </w:rPr>
        <w:t>beginning of a slot</w:t>
      </w:r>
      <w:r w:rsidR="005B22E3">
        <w:rPr>
          <w:b/>
        </w:rPr>
        <w:t xml:space="preserve"> indicated by k0/k2. Hence, take Fig. 1 as an example, the PDSCH in slot (N+5) should be dropped.</w:t>
      </w:r>
    </w:p>
    <w:p w:rsidR="00FC73B6" w:rsidRPr="005B22E3" w:rsidRDefault="00FC73B6" w:rsidP="00023A24">
      <w:pPr>
        <w:spacing w:after="0"/>
        <w:rPr>
          <w:b/>
        </w:rPr>
      </w:pPr>
    </w:p>
    <w:p w:rsidR="00FC73B6" w:rsidRDefault="00B5322D" w:rsidP="00023A24">
      <w:pPr>
        <w:spacing w:after="0"/>
        <w:rPr>
          <w:bCs/>
        </w:rPr>
      </w:pPr>
      <w:r>
        <w:rPr>
          <w:bCs/>
        </w:rPr>
        <w:t>To clarify the UE behaviour for cases specified in Table I, we have the following proposal:</w:t>
      </w:r>
    </w:p>
    <w:p w:rsidR="00B5322D" w:rsidRDefault="00B5322D" w:rsidP="00023A24">
      <w:pPr>
        <w:spacing w:after="0"/>
        <w:rPr>
          <w:bCs/>
        </w:rPr>
      </w:pPr>
    </w:p>
    <w:p w:rsidR="00B5322D" w:rsidRDefault="00B5322D" w:rsidP="00023A24">
      <w:pPr>
        <w:spacing w:after="0"/>
        <w:rPr>
          <w:b/>
        </w:rPr>
      </w:pPr>
      <w:r>
        <w:rPr>
          <w:rFonts w:hint="eastAsia"/>
          <w:b/>
          <w:u w:val="single"/>
          <w:lang w:eastAsia="zh-TW"/>
        </w:rPr>
        <w:t>Proposal</w:t>
      </w:r>
      <w:r w:rsidRPr="00E720D4">
        <w:rPr>
          <w:b/>
          <w:u w:val="single"/>
        </w:rPr>
        <w:t xml:space="preserve"> </w:t>
      </w:r>
      <w:r>
        <w:rPr>
          <w:b/>
          <w:u w:val="single"/>
        </w:rPr>
        <w:t>1</w:t>
      </w:r>
      <w:r>
        <w:rPr>
          <w:b/>
        </w:rPr>
        <w:t xml:space="preserve">: </w:t>
      </w:r>
      <w:r w:rsidRPr="00B5322D">
        <w:rPr>
          <w:b/>
        </w:rPr>
        <w:t>To clarify the UE behaviour for cases specified in Table I,</w:t>
      </w:r>
      <w:r>
        <w:rPr>
          <w:b/>
        </w:rPr>
        <w:t xml:space="preserve"> RAN1 to draw a conclusion based on the table shown below, where </w:t>
      </w:r>
      <w:r w:rsidRPr="00B5322D">
        <w:rPr>
          <w:b/>
        </w:rPr>
        <w:t>Case 1,2, 5</w:t>
      </w:r>
      <w:r>
        <w:rPr>
          <w:b/>
        </w:rPr>
        <w:t>, &amp; 6 are allowed in Rel-15 NR with specified UE behaviour, while Case 3 &amp; 4 are</w:t>
      </w:r>
      <w:r w:rsidRPr="00B5322D">
        <w:rPr>
          <w:b/>
        </w:rPr>
        <w:t xml:space="preserve"> </w:t>
      </w:r>
      <w:r>
        <w:rPr>
          <w:b/>
        </w:rPr>
        <w:t xml:space="preserve">precluded in </w:t>
      </w:r>
      <w:r w:rsidRPr="00B5322D">
        <w:rPr>
          <w:b/>
        </w:rPr>
        <w:t>Rel-15</w:t>
      </w:r>
      <w:r>
        <w:rPr>
          <w:b/>
        </w:rPr>
        <w:t xml:space="preserve"> NR.</w:t>
      </w:r>
    </w:p>
    <w:p w:rsidR="00B5322D" w:rsidRDefault="000C492D" w:rsidP="00023A24">
      <w:pPr>
        <w:spacing w:after="0"/>
        <w:rPr>
          <w:bCs/>
        </w:rPr>
      </w:pPr>
      <w:r>
        <w:rPr>
          <w:b/>
        </w:rPr>
        <w:t>When UE receives two DCIs</w:t>
      </w:r>
      <w:r w:rsidRPr="000C492D">
        <w:rPr>
          <w:b/>
        </w:rPr>
        <w:t xml:space="preserve"> in the same slot for BWP change for the same cell</w:t>
      </w:r>
      <w:r>
        <w:rPr>
          <w:b/>
        </w:rPr>
        <w:t>:</w:t>
      </w:r>
    </w:p>
    <w:tbl>
      <w:tblPr>
        <w:tblW w:w="0" w:type="auto"/>
        <w:tblCellMar>
          <w:left w:w="0" w:type="dxa"/>
          <w:right w:w="0" w:type="dxa"/>
        </w:tblCellMar>
        <w:tblLook w:val="04A0" w:firstRow="1" w:lastRow="0" w:firstColumn="1" w:lastColumn="0" w:noHBand="0" w:noVBand="1"/>
      </w:tblPr>
      <w:tblGrid>
        <w:gridCol w:w="904"/>
        <w:gridCol w:w="1865"/>
        <w:gridCol w:w="1309"/>
        <w:gridCol w:w="1319"/>
        <w:gridCol w:w="4224"/>
      </w:tblGrid>
      <w:tr w:rsidR="00D47A23" w:rsidTr="00D47A23">
        <w:tc>
          <w:tcPr>
            <w:tcW w:w="1056"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D47A23" w:rsidRPr="00D47A23" w:rsidRDefault="00D47A23">
            <w:pPr>
              <w:rPr>
                <w:b/>
                <w:bCs/>
                <w:sz w:val="18"/>
                <w:szCs w:val="18"/>
                <w:lang w:val="en-US" w:eastAsia="zh-TW"/>
              </w:rPr>
            </w:pPr>
            <w:r w:rsidRPr="00D47A23">
              <w:rPr>
                <w:b/>
                <w:bCs/>
                <w:sz w:val="18"/>
                <w:szCs w:val="18"/>
                <w:lang w:eastAsia="zh-TW"/>
              </w:rPr>
              <w:t>Duplex</w:t>
            </w:r>
          </w:p>
        </w:tc>
        <w:tc>
          <w:tcPr>
            <w:tcW w:w="283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D47A23" w:rsidRPr="00D47A23" w:rsidRDefault="00D47A23">
            <w:pPr>
              <w:rPr>
                <w:b/>
                <w:bCs/>
                <w:sz w:val="18"/>
                <w:szCs w:val="18"/>
                <w:lang w:eastAsia="zh-TW"/>
              </w:rPr>
            </w:pPr>
            <w:r w:rsidRPr="00D47A23">
              <w:rPr>
                <w:b/>
                <w:bCs/>
                <w:sz w:val="18"/>
                <w:szCs w:val="18"/>
                <w:lang w:eastAsia="zh-TW"/>
              </w:rPr>
              <w:t>Both DCIs indicating the same or different DL/UL BWP pairs</w:t>
            </w:r>
          </w:p>
        </w:tc>
        <w:tc>
          <w:tcPr>
            <w:tcW w:w="184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D47A23" w:rsidRPr="00D47A23" w:rsidRDefault="00D47A23">
            <w:pPr>
              <w:rPr>
                <w:b/>
                <w:bCs/>
                <w:sz w:val="18"/>
                <w:szCs w:val="18"/>
                <w:lang w:eastAsia="zh-TW"/>
              </w:rPr>
            </w:pPr>
            <w:r w:rsidRPr="00D47A23">
              <w:rPr>
                <w:b/>
                <w:bCs/>
                <w:sz w:val="18"/>
                <w:szCs w:val="18"/>
                <w:lang w:eastAsia="zh-TW"/>
              </w:rPr>
              <w:t>K0 = K2?</w:t>
            </w:r>
          </w:p>
          <w:p w:rsidR="00D47A23" w:rsidRPr="00D47A23" w:rsidRDefault="00D47A23">
            <w:pPr>
              <w:rPr>
                <w:b/>
                <w:bCs/>
                <w:sz w:val="18"/>
                <w:szCs w:val="18"/>
                <w:lang w:eastAsia="zh-TW"/>
              </w:rPr>
            </w:pPr>
            <w:r w:rsidRPr="00D47A23">
              <w:rPr>
                <w:b/>
                <w:bCs/>
                <w:sz w:val="18"/>
                <w:szCs w:val="18"/>
                <w:lang w:eastAsia="zh-TW"/>
              </w:rPr>
              <w:t>(Same SCS for DL/UL)</w:t>
            </w:r>
          </w:p>
        </w:tc>
        <w:tc>
          <w:tcPr>
            <w:tcW w:w="184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D47A23" w:rsidRPr="00D47A23" w:rsidRDefault="00D47A23">
            <w:pPr>
              <w:rPr>
                <w:b/>
                <w:bCs/>
                <w:sz w:val="18"/>
                <w:szCs w:val="18"/>
                <w:lang w:eastAsia="zh-TW"/>
              </w:rPr>
            </w:pPr>
            <w:r>
              <w:rPr>
                <w:b/>
                <w:bCs/>
                <w:sz w:val="18"/>
                <w:szCs w:val="18"/>
                <w:lang w:eastAsia="zh-TW"/>
              </w:rPr>
              <w:t>Allowed or not</w:t>
            </w:r>
          </w:p>
        </w:tc>
        <w:tc>
          <w:tcPr>
            <w:tcW w:w="666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D47A23" w:rsidRPr="00D47A23" w:rsidRDefault="00D47A23" w:rsidP="00D47A23">
            <w:pPr>
              <w:rPr>
                <w:b/>
                <w:bCs/>
                <w:sz w:val="18"/>
                <w:szCs w:val="18"/>
                <w:lang w:eastAsia="zh-TW"/>
              </w:rPr>
            </w:pPr>
            <w:r>
              <w:rPr>
                <w:b/>
                <w:bCs/>
                <w:sz w:val="18"/>
                <w:szCs w:val="18"/>
                <w:lang w:eastAsia="zh-TW"/>
              </w:rPr>
              <w:t>Expected UE behavio</w:t>
            </w:r>
            <w:r w:rsidR="00B5322D">
              <w:rPr>
                <w:b/>
                <w:bCs/>
                <w:sz w:val="18"/>
                <w:szCs w:val="18"/>
                <w:lang w:eastAsia="zh-TW"/>
              </w:rPr>
              <w:t>u</w:t>
            </w:r>
            <w:r>
              <w:rPr>
                <w:b/>
                <w:bCs/>
                <w:sz w:val="18"/>
                <w:szCs w:val="18"/>
                <w:lang w:eastAsia="zh-TW"/>
              </w:rPr>
              <w:t>r</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Case 1: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Same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If single DCI is d</w:t>
            </w:r>
            <w:r>
              <w:rPr>
                <w:sz w:val="18"/>
                <w:szCs w:val="18"/>
                <w:lang w:eastAsia="zh-TW"/>
              </w:rPr>
              <w:t>etected, UE switches to the designated</w:t>
            </w:r>
            <w:r w:rsidRPr="00D47A23">
              <w:rPr>
                <w:sz w:val="18"/>
                <w:szCs w:val="18"/>
                <w:lang w:eastAsia="zh-TW"/>
              </w:rPr>
              <w:t xml:space="preserve"> DL/UL BWP pair no matter which DCI is detected</w:t>
            </w:r>
            <w:r w:rsidR="000C492D">
              <w:rPr>
                <w:sz w:val="18"/>
                <w:szCs w:val="18"/>
                <w:lang w:eastAsia="zh-TW"/>
              </w:rPr>
              <w:t xml:space="preserve"> and receive/transmit the corresponding PDSCH/PUSCH</w:t>
            </w:r>
          </w:p>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both DCIs are detected, UE switches to the </w:t>
            </w:r>
            <w:r w:rsidR="00591516">
              <w:rPr>
                <w:sz w:val="18"/>
                <w:szCs w:val="18"/>
                <w:lang w:eastAsia="zh-TW"/>
              </w:rPr>
              <w:t>designated</w:t>
            </w:r>
            <w:r w:rsidRPr="00D47A23">
              <w:rPr>
                <w:sz w:val="18"/>
                <w:szCs w:val="18"/>
                <w:lang w:eastAsia="zh-TW"/>
              </w:rPr>
              <w:t xml:space="preserve"> DL/UL BWP pair based on the detected DCIs</w:t>
            </w:r>
          </w:p>
          <w:p w:rsidR="00D47A23" w:rsidRPr="00D47A23" w:rsidRDefault="00D47A23" w:rsidP="00D47A23">
            <w:pPr>
              <w:pStyle w:val="af9"/>
              <w:numPr>
                <w:ilvl w:val="1"/>
                <w:numId w:val="34"/>
              </w:numPr>
              <w:spacing w:after="0"/>
              <w:rPr>
                <w:sz w:val="18"/>
                <w:szCs w:val="18"/>
                <w:lang w:eastAsia="zh-TW"/>
              </w:rPr>
            </w:pPr>
            <w:r w:rsidRPr="00D47A23">
              <w:rPr>
                <w:sz w:val="18"/>
                <w:szCs w:val="18"/>
                <w:lang w:eastAsia="zh-TW"/>
              </w:rPr>
              <w:t>Both PDSCH and PUSCH scheduled by the DCIs are not dropped</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Case 2: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Same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single DCI is detected, UE switches to the </w:t>
            </w:r>
            <w:r>
              <w:rPr>
                <w:sz w:val="18"/>
                <w:szCs w:val="18"/>
                <w:lang w:eastAsia="zh-TW"/>
              </w:rPr>
              <w:t>designated</w:t>
            </w:r>
            <w:r w:rsidRPr="00D47A23">
              <w:rPr>
                <w:sz w:val="18"/>
                <w:szCs w:val="18"/>
                <w:lang w:eastAsia="zh-TW"/>
              </w:rPr>
              <w:t xml:space="preserve"> DL/UL BWP pair no matter which DCI is detected</w:t>
            </w:r>
            <w:r w:rsidR="000C492D">
              <w:rPr>
                <w:sz w:val="18"/>
                <w:szCs w:val="18"/>
                <w:lang w:eastAsia="zh-TW"/>
              </w:rPr>
              <w:t xml:space="preserve"> </w:t>
            </w:r>
            <w:r w:rsidR="000C492D">
              <w:rPr>
                <w:sz w:val="18"/>
                <w:szCs w:val="18"/>
                <w:lang w:eastAsia="zh-TW"/>
              </w:rPr>
              <w:t>and receive/transmit the corresponding PDSCH/PUSCH</w:t>
            </w:r>
          </w:p>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both DCIs are detected, </w:t>
            </w:r>
            <w:r w:rsidR="00591516" w:rsidRPr="00D47A23">
              <w:rPr>
                <w:sz w:val="18"/>
                <w:szCs w:val="18"/>
                <w:lang w:eastAsia="zh-TW"/>
              </w:rPr>
              <w:t xml:space="preserve">UE switches to the </w:t>
            </w:r>
            <w:r w:rsidR="00591516">
              <w:rPr>
                <w:sz w:val="18"/>
                <w:szCs w:val="18"/>
                <w:lang w:eastAsia="zh-TW"/>
              </w:rPr>
              <w:t>designated</w:t>
            </w:r>
            <w:r w:rsidR="00591516" w:rsidRPr="00D47A23">
              <w:rPr>
                <w:sz w:val="18"/>
                <w:szCs w:val="18"/>
                <w:lang w:eastAsia="zh-TW"/>
              </w:rPr>
              <w:t xml:space="preserve"> DL/UL BWP pair based on the detected DCIs</w:t>
            </w:r>
            <w:r w:rsidR="00591516">
              <w:rPr>
                <w:sz w:val="18"/>
                <w:szCs w:val="18"/>
                <w:lang w:eastAsia="zh-TW"/>
              </w:rPr>
              <w:t xml:space="preserve">; </w:t>
            </w:r>
            <w:r w:rsidRPr="00D47A23">
              <w:rPr>
                <w:sz w:val="18"/>
                <w:szCs w:val="18"/>
                <w:lang w:eastAsia="zh-TW"/>
              </w:rPr>
              <w:t xml:space="preserve">earlier PDSCH or PUSCH </w:t>
            </w:r>
            <w:r w:rsidRPr="00D47A23">
              <w:rPr>
                <w:sz w:val="18"/>
                <w:szCs w:val="18"/>
                <w:lang w:eastAsia="zh-TW"/>
              </w:rPr>
              <w:lastRenderedPageBreak/>
              <w:t>scheduled by the 1st DCI indicating DL/UL BWP pair change will be dropped</w:t>
            </w:r>
          </w:p>
          <w:p w:rsidR="00D47A23" w:rsidRPr="00D47A23" w:rsidRDefault="00D47A23" w:rsidP="00D47A23">
            <w:pPr>
              <w:pStyle w:val="af9"/>
              <w:numPr>
                <w:ilvl w:val="1"/>
                <w:numId w:val="34"/>
              </w:numPr>
              <w:spacing w:after="0"/>
              <w:rPr>
                <w:sz w:val="18"/>
                <w:szCs w:val="18"/>
                <w:lang w:eastAsia="zh-TW"/>
              </w:rPr>
            </w:pPr>
            <w:r w:rsidRPr="00D47A23">
              <w:rPr>
                <w:sz w:val="18"/>
                <w:szCs w:val="18"/>
                <w:lang w:eastAsia="zh-TW"/>
              </w:rPr>
              <w:t>If PDSCH is dropped, PUSCH Tx scheduled by the 2nd DCI is kept and can be viewed as an ACK from a UE to gNB for the DL/UL BWP pair change</w:t>
            </w:r>
          </w:p>
          <w:p w:rsidR="00D47A23" w:rsidRPr="00D47A23" w:rsidRDefault="00D47A23" w:rsidP="00D47A23">
            <w:pPr>
              <w:pStyle w:val="af9"/>
              <w:numPr>
                <w:ilvl w:val="1"/>
                <w:numId w:val="34"/>
              </w:numPr>
              <w:spacing w:after="0"/>
              <w:rPr>
                <w:sz w:val="18"/>
                <w:szCs w:val="18"/>
                <w:lang w:eastAsia="zh-TW"/>
              </w:rPr>
            </w:pPr>
            <w:r w:rsidRPr="00D47A23">
              <w:rPr>
                <w:sz w:val="18"/>
                <w:szCs w:val="18"/>
                <w:lang w:eastAsia="zh-TW"/>
              </w:rPr>
              <w:t>If PUSCH is dropped, HARQ-ACK to the PDSCH scheduled by the 2nd DCI can be viewed as an ACK from a UE to gNB for the DL/UL BWP pair change</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lastRenderedPageBreak/>
              <w:t>Case 3: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Different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No</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pPr>
              <w:rPr>
                <w:sz w:val="18"/>
                <w:szCs w:val="18"/>
                <w:lang w:eastAsia="zh-TW"/>
              </w:rPr>
            </w:pPr>
            <w:r>
              <w:rPr>
                <w:sz w:val="18"/>
                <w:szCs w:val="18"/>
                <w:lang w:eastAsia="zh-TW"/>
              </w:rPr>
              <w:t>UE does not expect this case</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Case 4: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Different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No</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rsidP="00D47A23">
            <w:pPr>
              <w:spacing w:after="0"/>
              <w:rPr>
                <w:sz w:val="18"/>
                <w:szCs w:val="18"/>
                <w:lang w:eastAsia="zh-TW"/>
              </w:rPr>
            </w:pPr>
            <w:r>
              <w:rPr>
                <w:sz w:val="18"/>
                <w:szCs w:val="18"/>
                <w:lang w:eastAsia="zh-TW"/>
              </w:rPr>
              <w:t>UE does not expect this case</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Case 5: FDD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N/A</w:t>
            </w:r>
          </w:p>
          <w:p w:rsidR="00D47A23" w:rsidRPr="00D47A23" w:rsidRDefault="00D47A23">
            <w:pPr>
              <w:rPr>
                <w:sz w:val="18"/>
                <w:szCs w:val="18"/>
                <w:lang w:eastAsia="zh-TW"/>
              </w:rPr>
            </w:pPr>
            <w:r w:rsidRPr="00D47A23">
              <w:rPr>
                <w:sz w:val="18"/>
                <w:szCs w:val="18"/>
                <w:lang w:eastAsia="zh-TW"/>
              </w:rPr>
              <w:t>(no DL/UL BWP pairing in FDD)</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single DCI is detected, UE switches its DL BWP or UL BWP to the </w:t>
            </w:r>
            <w:r w:rsidR="00591516">
              <w:rPr>
                <w:sz w:val="18"/>
                <w:szCs w:val="18"/>
                <w:lang w:eastAsia="zh-TW"/>
              </w:rPr>
              <w:t>designated</w:t>
            </w:r>
            <w:r w:rsidRPr="00D47A23">
              <w:rPr>
                <w:sz w:val="18"/>
                <w:szCs w:val="18"/>
                <w:lang w:eastAsia="zh-TW"/>
              </w:rPr>
              <w:t xml:space="preserve"> one based on the detected DCI</w:t>
            </w:r>
            <w:r w:rsidR="000C492D">
              <w:rPr>
                <w:sz w:val="18"/>
                <w:szCs w:val="18"/>
                <w:lang w:eastAsia="zh-TW"/>
              </w:rPr>
              <w:t xml:space="preserve"> </w:t>
            </w:r>
            <w:r w:rsidR="000C492D">
              <w:rPr>
                <w:sz w:val="18"/>
                <w:szCs w:val="18"/>
                <w:lang w:eastAsia="zh-TW"/>
              </w:rPr>
              <w:t>and receive/transmit the corresponding PDSCH/PUSCH</w:t>
            </w:r>
          </w:p>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both DCIs are detected, UE switches its DL BWP and UL BWP to the </w:t>
            </w:r>
            <w:r w:rsidR="00591516">
              <w:rPr>
                <w:sz w:val="18"/>
                <w:szCs w:val="18"/>
                <w:lang w:eastAsia="zh-TW"/>
              </w:rPr>
              <w:t>designated</w:t>
            </w:r>
            <w:r w:rsidRPr="00D47A23">
              <w:rPr>
                <w:sz w:val="18"/>
                <w:szCs w:val="18"/>
                <w:lang w:eastAsia="zh-TW"/>
              </w:rPr>
              <w:t xml:space="preserve"> ones based on the detected DCIs</w:t>
            </w:r>
          </w:p>
          <w:p w:rsidR="00D47A23" w:rsidRPr="00591516" w:rsidRDefault="00D47A23" w:rsidP="00591516">
            <w:pPr>
              <w:pStyle w:val="af9"/>
              <w:numPr>
                <w:ilvl w:val="1"/>
                <w:numId w:val="34"/>
              </w:numPr>
              <w:spacing w:after="0"/>
              <w:rPr>
                <w:sz w:val="18"/>
                <w:szCs w:val="18"/>
                <w:lang w:eastAsia="zh-TW"/>
              </w:rPr>
            </w:pPr>
            <w:r w:rsidRPr="00D47A23">
              <w:rPr>
                <w:sz w:val="18"/>
                <w:szCs w:val="18"/>
                <w:lang w:eastAsia="zh-TW"/>
              </w:rPr>
              <w:t>Both PDSCH and PUSCH scheduled by the DCIs are not dropped</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Case 6:</w:t>
            </w:r>
          </w:p>
          <w:p w:rsidR="00D47A23" w:rsidRPr="00D47A23" w:rsidRDefault="00D47A23">
            <w:pPr>
              <w:rPr>
                <w:sz w:val="18"/>
                <w:szCs w:val="18"/>
                <w:lang w:eastAsia="zh-TW"/>
              </w:rPr>
            </w:pPr>
            <w:r w:rsidRPr="00D47A23">
              <w:rPr>
                <w:sz w:val="18"/>
                <w:szCs w:val="18"/>
                <w:lang w:eastAsia="zh-TW"/>
              </w:rPr>
              <w:t>FDD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N/A</w:t>
            </w:r>
          </w:p>
          <w:p w:rsidR="00D47A23" w:rsidRPr="00D47A23" w:rsidRDefault="00D47A23">
            <w:pPr>
              <w:rPr>
                <w:sz w:val="18"/>
                <w:szCs w:val="18"/>
                <w:lang w:eastAsia="zh-TW"/>
              </w:rPr>
            </w:pPr>
            <w:r w:rsidRPr="00D47A23">
              <w:rPr>
                <w:sz w:val="18"/>
                <w:szCs w:val="18"/>
                <w:lang w:eastAsia="zh-TW"/>
              </w:rPr>
              <w:t>(no DL/UL BWP pairing in FDD)</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If single DCI is detected, UE switches its DL BWP or UL BWP based on the detected DCI</w:t>
            </w:r>
            <w:r w:rsidR="000C492D">
              <w:rPr>
                <w:sz w:val="18"/>
                <w:szCs w:val="18"/>
                <w:lang w:eastAsia="zh-TW"/>
              </w:rPr>
              <w:t xml:space="preserve"> </w:t>
            </w:r>
            <w:r w:rsidR="000C492D">
              <w:rPr>
                <w:sz w:val="18"/>
                <w:szCs w:val="18"/>
                <w:lang w:eastAsia="zh-TW"/>
              </w:rPr>
              <w:t>and receive/transmit the corresponding PDSCH/PUSCH</w:t>
            </w:r>
          </w:p>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both DCIs are detected, </w:t>
            </w:r>
            <w:r w:rsidR="00591516" w:rsidRPr="00D47A23">
              <w:rPr>
                <w:sz w:val="18"/>
                <w:szCs w:val="18"/>
                <w:lang w:eastAsia="zh-TW"/>
              </w:rPr>
              <w:t xml:space="preserve">UE switches its DL BWP and UL BWP to the </w:t>
            </w:r>
            <w:r w:rsidR="00591516">
              <w:rPr>
                <w:sz w:val="18"/>
                <w:szCs w:val="18"/>
                <w:lang w:eastAsia="zh-TW"/>
              </w:rPr>
              <w:t>designated</w:t>
            </w:r>
            <w:r w:rsidR="00591516" w:rsidRPr="00D47A23">
              <w:rPr>
                <w:sz w:val="18"/>
                <w:szCs w:val="18"/>
                <w:lang w:eastAsia="zh-TW"/>
              </w:rPr>
              <w:t xml:space="preserve"> ones based on the detected DCIs</w:t>
            </w:r>
            <w:r w:rsidR="00591516">
              <w:rPr>
                <w:sz w:val="18"/>
                <w:szCs w:val="18"/>
                <w:lang w:eastAsia="zh-TW"/>
              </w:rPr>
              <w:t>;</w:t>
            </w:r>
            <w:r w:rsidR="00591516" w:rsidRPr="00D47A23">
              <w:rPr>
                <w:sz w:val="18"/>
                <w:szCs w:val="18"/>
                <w:lang w:eastAsia="zh-TW"/>
              </w:rPr>
              <w:t xml:space="preserve"> </w:t>
            </w:r>
            <w:r w:rsidRPr="00D47A23">
              <w:rPr>
                <w:sz w:val="18"/>
                <w:szCs w:val="18"/>
                <w:lang w:eastAsia="zh-TW"/>
              </w:rPr>
              <w:t>earlier PDSCH or PUSCH scheduled by the 1st DCI indicating DL BWP or UL BWP change will be dropped; later PDSCH or PUSCH scheduled by the 2nd DCI indicating DL BWP or UL BWP change will be kept</w:t>
            </w:r>
          </w:p>
          <w:p w:rsidR="00D47A23" w:rsidRPr="00D47A23" w:rsidRDefault="00D47A23" w:rsidP="00D47A23">
            <w:pPr>
              <w:pStyle w:val="af9"/>
              <w:numPr>
                <w:ilvl w:val="1"/>
                <w:numId w:val="34"/>
              </w:numPr>
              <w:spacing w:after="0"/>
              <w:rPr>
                <w:sz w:val="18"/>
                <w:szCs w:val="18"/>
                <w:lang w:eastAsia="zh-TW"/>
              </w:rPr>
            </w:pPr>
            <w:r w:rsidRPr="00D47A23">
              <w:rPr>
                <w:sz w:val="18"/>
                <w:szCs w:val="18"/>
                <w:lang w:eastAsia="zh-TW"/>
              </w:rPr>
              <w:t>There is no ACK from a UE to gNB for the DL BWP or UL BWP change indicated by the 1st DCI</w:t>
            </w:r>
          </w:p>
          <w:p w:rsidR="00D47A23" w:rsidRPr="00D47A23" w:rsidRDefault="00D47A23" w:rsidP="00D47A23">
            <w:pPr>
              <w:pStyle w:val="af9"/>
              <w:numPr>
                <w:ilvl w:val="1"/>
                <w:numId w:val="34"/>
              </w:numPr>
              <w:spacing w:after="0"/>
              <w:rPr>
                <w:sz w:val="18"/>
                <w:szCs w:val="18"/>
                <w:lang w:eastAsia="zh-TW"/>
              </w:rPr>
            </w:pPr>
            <w:r w:rsidRPr="00D47A23">
              <w:rPr>
                <w:sz w:val="18"/>
                <w:szCs w:val="18"/>
                <w:lang w:eastAsia="zh-TW"/>
              </w:rPr>
              <w:t>There is ACK from a UE to gNB for the DL BWP or UL BWP change indicated by the 2nd DCI</w:t>
            </w:r>
          </w:p>
        </w:tc>
      </w:tr>
    </w:tbl>
    <w:p w:rsidR="0019549E" w:rsidRDefault="0019549E" w:rsidP="00023A24">
      <w:pPr>
        <w:spacing w:after="0"/>
        <w:rPr>
          <w:bCs/>
        </w:rPr>
      </w:pPr>
    </w:p>
    <w:p w:rsidR="00D47A23" w:rsidRDefault="00D47A23" w:rsidP="00023A24">
      <w:pPr>
        <w:spacing w:after="0"/>
        <w:rPr>
          <w:bCs/>
        </w:rPr>
      </w:pPr>
    </w:p>
    <w:bookmarkEnd w:id="0"/>
    <w:bookmarkEnd w:id="1"/>
    <w:p w:rsidR="007B24DF" w:rsidRPr="00467103" w:rsidRDefault="00AC479E" w:rsidP="007B24DF">
      <w:pPr>
        <w:pStyle w:val="1"/>
        <w:rPr>
          <w:rFonts w:cs="Arial"/>
          <w:color w:val="000000"/>
        </w:rPr>
      </w:pPr>
      <w:r>
        <w:rPr>
          <w:rFonts w:cs="Arial"/>
          <w:color w:val="000000"/>
          <w:lang w:eastAsia="zh-TW"/>
        </w:rPr>
        <w:t>Conclusion</w:t>
      </w:r>
    </w:p>
    <w:p w:rsidR="00FB0FF5" w:rsidRDefault="007069E2" w:rsidP="003A05DF">
      <w:pPr>
        <w:spacing w:after="0"/>
        <w:rPr>
          <w:bCs/>
          <w:lang w:eastAsia="zh-TW"/>
        </w:rPr>
      </w:pPr>
      <w:r w:rsidRPr="00992F11">
        <w:rPr>
          <w:rFonts w:hint="eastAsia"/>
          <w:bCs/>
        </w:rPr>
        <w:t>In this contribution, we discuss</w:t>
      </w:r>
      <w:r w:rsidRPr="00992F11">
        <w:rPr>
          <w:bCs/>
        </w:rPr>
        <w:t xml:space="preserve"> </w:t>
      </w:r>
      <w:r>
        <w:rPr>
          <w:rFonts w:hint="eastAsia"/>
          <w:bCs/>
        </w:rPr>
        <w:t xml:space="preserve">the issue about </w:t>
      </w:r>
      <w:r>
        <w:rPr>
          <w:rFonts w:hint="eastAsia"/>
          <w:bCs/>
          <w:lang w:eastAsia="zh-TW"/>
        </w:rPr>
        <w:t xml:space="preserve">when there are two </w:t>
      </w:r>
      <w:r>
        <w:rPr>
          <w:bCs/>
          <w:lang w:eastAsia="zh-TW"/>
        </w:rPr>
        <w:t xml:space="preserve">DCIs (Ex. </w:t>
      </w:r>
      <w:r>
        <w:t>DCI 1_1 and DCI 0_1</w:t>
      </w:r>
      <w:r>
        <w:rPr>
          <w:bCs/>
          <w:lang w:eastAsia="zh-TW"/>
        </w:rPr>
        <w:t>) in the same slot both indicating BWP switch for the same cell</w:t>
      </w:r>
      <w:r>
        <w:rPr>
          <w:bCs/>
          <w:lang w:eastAsia="zh-TW"/>
        </w:rPr>
        <w:t xml:space="preserve"> with the following observations and proposals:</w:t>
      </w:r>
    </w:p>
    <w:p w:rsidR="007069E2" w:rsidRDefault="007069E2" w:rsidP="003A05DF">
      <w:pPr>
        <w:spacing w:after="0"/>
        <w:rPr>
          <w:bCs/>
          <w:lang w:eastAsia="zh-TW"/>
        </w:rPr>
      </w:pPr>
    </w:p>
    <w:p w:rsidR="007069E2" w:rsidRDefault="007069E2" w:rsidP="007069E2">
      <w:pPr>
        <w:spacing w:after="0"/>
        <w:rPr>
          <w:lang w:eastAsia="x-none"/>
        </w:rPr>
      </w:pPr>
      <w:r w:rsidRPr="00E720D4">
        <w:rPr>
          <w:rFonts w:hint="eastAsia"/>
          <w:b/>
          <w:u w:val="single"/>
          <w:lang w:eastAsia="zh-TW"/>
        </w:rPr>
        <w:t>Observation</w:t>
      </w:r>
      <w:r w:rsidRPr="00E720D4">
        <w:rPr>
          <w:b/>
          <w:u w:val="single"/>
        </w:rPr>
        <w:t xml:space="preserve"> 1</w:t>
      </w:r>
      <w:r>
        <w:rPr>
          <w:b/>
        </w:rPr>
        <w:t xml:space="preserve">: </w:t>
      </w:r>
      <w:r w:rsidRPr="00E94817">
        <w:rPr>
          <w:b/>
        </w:rPr>
        <w:t xml:space="preserve">In current spec, it is not clear what the expected UE behaviour is when </w:t>
      </w:r>
      <w:r>
        <w:rPr>
          <w:b/>
        </w:rPr>
        <w:t>UE receives</w:t>
      </w:r>
      <w:r w:rsidRPr="00E94817">
        <w:rPr>
          <w:b/>
        </w:rPr>
        <w:t xml:space="preserve"> two DCIs, Ex. DCI 1_1 and DCI 0_1, in the same slot for BWP change for the same carrier. An </w:t>
      </w:r>
      <w:r>
        <w:rPr>
          <w:b/>
        </w:rPr>
        <w:t>example is shown in Fig. 1 and 6 possible cases are shown in Table I.</w:t>
      </w:r>
    </w:p>
    <w:p w:rsidR="007069E2" w:rsidRDefault="007069E2" w:rsidP="007069E2">
      <w:pPr>
        <w:spacing w:after="0"/>
        <w:rPr>
          <w:bCs/>
        </w:rPr>
      </w:pPr>
    </w:p>
    <w:p w:rsidR="007069E2" w:rsidRPr="00591516" w:rsidRDefault="007069E2" w:rsidP="007069E2">
      <w:pPr>
        <w:spacing w:after="0"/>
        <w:rPr>
          <w:b/>
        </w:rPr>
      </w:pPr>
      <w:r w:rsidRPr="00E720D4">
        <w:rPr>
          <w:rFonts w:hint="eastAsia"/>
          <w:b/>
          <w:u w:val="single"/>
          <w:lang w:eastAsia="zh-TW"/>
        </w:rPr>
        <w:t>Observation</w:t>
      </w:r>
      <w:r w:rsidRPr="00E720D4">
        <w:rPr>
          <w:b/>
          <w:u w:val="single"/>
        </w:rPr>
        <w:t xml:space="preserve"> </w:t>
      </w:r>
      <w:r>
        <w:rPr>
          <w:b/>
          <w:u w:val="single"/>
        </w:rPr>
        <w:t>2</w:t>
      </w:r>
      <w:r>
        <w:rPr>
          <w:b/>
        </w:rPr>
        <w:t xml:space="preserve">: </w:t>
      </w:r>
      <w:r w:rsidRPr="00E94817">
        <w:rPr>
          <w:b/>
        </w:rPr>
        <w:t>In current spec</w:t>
      </w:r>
      <w:r>
        <w:rPr>
          <w:b/>
        </w:rPr>
        <w:t xml:space="preserve"> </w:t>
      </w:r>
      <w:r w:rsidRPr="00591516">
        <w:rPr>
          <w:b/>
        </w:rPr>
        <w:t>38.213 [1] Chapter 12,</w:t>
      </w:r>
      <w:r>
        <w:rPr>
          <w:b/>
        </w:rPr>
        <w:t xml:space="preserve"> UE is not required to </w:t>
      </w:r>
      <w:r w:rsidRPr="00591516">
        <w:rPr>
          <w:b/>
        </w:rPr>
        <w:t xml:space="preserve">receive or transmit in the </w:t>
      </w:r>
      <w:r>
        <w:rPr>
          <w:b/>
        </w:rPr>
        <w:t>BW</w:t>
      </w:r>
      <w:r>
        <w:rPr>
          <w:rFonts w:hint="eastAsia"/>
          <w:b/>
          <w:lang w:eastAsia="zh-TW"/>
        </w:rPr>
        <w:t>P</w:t>
      </w:r>
      <w:r>
        <w:rPr>
          <w:b/>
          <w:lang w:eastAsia="zh-TW"/>
        </w:rPr>
        <w:t xml:space="preserve">-changing </w:t>
      </w:r>
      <w:r w:rsidRPr="00591516">
        <w:rPr>
          <w:b/>
        </w:rPr>
        <w:t>cell</w:t>
      </w:r>
      <w:r>
        <w:rPr>
          <w:b/>
        </w:rPr>
        <w:t xml:space="preserve"> from </w:t>
      </w:r>
      <w:r w:rsidRPr="005B22E3">
        <w:rPr>
          <w:b/>
        </w:rPr>
        <w:t>the end of the third sy</w:t>
      </w:r>
      <w:r>
        <w:rPr>
          <w:b/>
        </w:rPr>
        <w:t xml:space="preserve">mbol of a slot where </w:t>
      </w:r>
      <w:r w:rsidRPr="005B22E3">
        <w:rPr>
          <w:b/>
        </w:rPr>
        <w:t>UE receives the DL/UL BWP change indication DCI</w:t>
      </w:r>
      <w:r>
        <w:rPr>
          <w:b/>
        </w:rPr>
        <w:t xml:space="preserve"> to the </w:t>
      </w:r>
      <w:r w:rsidRPr="005B22E3">
        <w:rPr>
          <w:b/>
        </w:rPr>
        <w:t>beginning of a slot</w:t>
      </w:r>
      <w:r>
        <w:rPr>
          <w:b/>
        </w:rPr>
        <w:t xml:space="preserve"> indicated by k0/k2. Hence, take Fig. 1 as an example, the PDSCH in slot (N+5) should be dropped.</w:t>
      </w:r>
    </w:p>
    <w:p w:rsidR="007069E2" w:rsidRDefault="007069E2" w:rsidP="007069E2">
      <w:pPr>
        <w:spacing w:after="0"/>
        <w:rPr>
          <w:bCs/>
        </w:rPr>
      </w:pPr>
    </w:p>
    <w:p w:rsidR="007069E2" w:rsidRDefault="007069E2" w:rsidP="007069E2">
      <w:pPr>
        <w:spacing w:after="0"/>
        <w:rPr>
          <w:b/>
        </w:rPr>
      </w:pPr>
      <w:r>
        <w:rPr>
          <w:rFonts w:hint="eastAsia"/>
          <w:b/>
          <w:u w:val="single"/>
          <w:lang w:eastAsia="zh-TW"/>
        </w:rPr>
        <w:t>Proposal</w:t>
      </w:r>
      <w:r w:rsidRPr="00E720D4">
        <w:rPr>
          <w:b/>
          <w:u w:val="single"/>
        </w:rPr>
        <w:t xml:space="preserve"> </w:t>
      </w:r>
      <w:r>
        <w:rPr>
          <w:b/>
          <w:u w:val="single"/>
        </w:rPr>
        <w:t>1</w:t>
      </w:r>
      <w:r>
        <w:rPr>
          <w:b/>
        </w:rPr>
        <w:t xml:space="preserve">: </w:t>
      </w:r>
      <w:r w:rsidRPr="00B5322D">
        <w:rPr>
          <w:b/>
        </w:rPr>
        <w:t>To clarify the UE behaviour for cases specified in Table I,</w:t>
      </w:r>
      <w:r>
        <w:rPr>
          <w:b/>
        </w:rPr>
        <w:t xml:space="preserve"> RAN1 to draw a conclusion based on the table shown below, where </w:t>
      </w:r>
      <w:r w:rsidRPr="00B5322D">
        <w:rPr>
          <w:b/>
        </w:rPr>
        <w:t>Case 1,2, 5</w:t>
      </w:r>
      <w:r>
        <w:rPr>
          <w:b/>
        </w:rPr>
        <w:t>, &amp; 6 are allowed in Rel-15 NR with specified UE behaviour, while Case 3 &amp; 4 are</w:t>
      </w:r>
      <w:r w:rsidRPr="00B5322D">
        <w:rPr>
          <w:b/>
        </w:rPr>
        <w:t xml:space="preserve"> </w:t>
      </w:r>
      <w:r>
        <w:rPr>
          <w:b/>
        </w:rPr>
        <w:t xml:space="preserve">precluded in </w:t>
      </w:r>
      <w:r w:rsidRPr="00B5322D">
        <w:rPr>
          <w:b/>
        </w:rPr>
        <w:t>Rel-15</w:t>
      </w:r>
      <w:r>
        <w:rPr>
          <w:b/>
        </w:rPr>
        <w:t xml:space="preserve"> NR.</w:t>
      </w:r>
    </w:p>
    <w:p w:rsidR="007069E2" w:rsidRDefault="007069E2" w:rsidP="007069E2">
      <w:pPr>
        <w:spacing w:after="0"/>
        <w:rPr>
          <w:bCs/>
        </w:rPr>
      </w:pPr>
      <w:r>
        <w:rPr>
          <w:b/>
        </w:rPr>
        <w:t>When UE receives two DCIs</w:t>
      </w:r>
      <w:r w:rsidRPr="000C492D">
        <w:rPr>
          <w:b/>
        </w:rPr>
        <w:t xml:space="preserve"> in the same slot for BWP change for the same cell</w:t>
      </w:r>
      <w:r>
        <w:rPr>
          <w:b/>
        </w:rPr>
        <w:t>:</w:t>
      </w:r>
    </w:p>
    <w:tbl>
      <w:tblPr>
        <w:tblW w:w="0" w:type="auto"/>
        <w:tblCellMar>
          <w:left w:w="0" w:type="dxa"/>
          <w:right w:w="0" w:type="dxa"/>
        </w:tblCellMar>
        <w:tblLook w:val="04A0" w:firstRow="1" w:lastRow="0" w:firstColumn="1" w:lastColumn="0" w:noHBand="0" w:noVBand="1"/>
      </w:tblPr>
      <w:tblGrid>
        <w:gridCol w:w="904"/>
        <w:gridCol w:w="1865"/>
        <w:gridCol w:w="1309"/>
        <w:gridCol w:w="1319"/>
        <w:gridCol w:w="4224"/>
      </w:tblGrid>
      <w:tr w:rsidR="007069E2" w:rsidTr="00882FD1">
        <w:tc>
          <w:tcPr>
            <w:tcW w:w="1056"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7069E2" w:rsidRPr="00D47A23" w:rsidRDefault="007069E2" w:rsidP="00882FD1">
            <w:pPr>
              <w:rPr>
                <w:b/>
                <w:bCs/>
                <w:sz w:val="18"/>
                <w:szCs w:val="18"/>
                <w:lang w:val="en-US" w:eastAsia="zh-TW"/>
              </w:rPr>
            </w:pPr>
            <w:r w:rsidRPr="00D47A23">
              <w:rPr>
                <w:b/>
                <w:bCs/>
                <w:sz w:val="18"/>
                <w:szCs w:val="18"/>
                <w:lang w:eastAsia="zh-TW"/>
              </w:rPr>
              <w:lastRenderedPageBreak/>
              <w:t>Duplex</w:t>
            </w:r>
          </w:p>
        </w:tc>
        <w:tc>
          <w:tcPr>
            <w:tcW w:w="283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7069E2" w:rsidRPr="00D47A23" w:rsidRDefault="007069E2" w:rsidP="00882FD1">
            <w:pPr>
              <w:rPr>
                <w:b/>
                <w:bCs/>
                <w:sz w:val="18"/>
                <w:szCs w:val="18"/>
                <w:lang w:eastAsia="zh-TW"/>
              </w:rPr>
            </w:pPr>
            <w:r w:rsidRPr="00D47A23">
              <w:rPr>
                <w:b/>
                <w:bCs/>
                <w:sz w:val="18"/>
                <w:szCs w:val="18"/>
                <w:lang w:eastAsia="zh-TW"/>
              </w:rPr>
              <w:t>Both DCIs indicating the same or different DL/UL BWP pairs</w:t>
            </w:r>
          </w:p>
        </w:tc>
        <w:tc>
          <w:tcPr>
            <w:tcW w:w="184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7069E2" w:rsidRPr="00D47A23" w:rsidRDefault="007069E2" w:rsidP="00882FD1">
            <w:pPr>
              <w:rPr>
                <w:b/>
                <w:bCs/>
                <w:sz w:val="18"/>
                <w:szCs w:val="18"/>
                <w:lang w:eastAsia="zh-TW"/>
              </w:rPr>
            </w:pPr>
            <w:r w:rsidRPr="00D47A23">
              <w:rPr>
                <w:b/>
                <w:bCs/>
                <w:sz w:val="18"/>
                <w:szCs w:val="18"/>
                <w:lang w:eastAsia="zh-TW"/>
              </w:rPr>
              <w:t>K0 = K2?</w:t>
            </w:r>
          </w:p>
          <w:p w:rsidR="007069E2" w:rsidRPr="00D47A23" w:rsidRDefault="007069E2" w:rsidP="00882FD1">
            <w:pPr>
              <w:rPr>
                <w:b/>
                <w:bCs/>
                <w:sz w:val="18"/>
                <w:szCs w:val="18"/>
                <w:lang w:eastAsia="zh-TW"/>
              </w:rPr>
            </w:pPr>
            <w:r w:rsidRPr="00D47A23">
              <w:rPr>
                <w:b/>
                <w:bCs/>
                <w:sz w:val="18"/>
                <w:szCs w:val="18"/>
                <w:lang w:eastAsia="zh-TW"/>
              </w:rPr>
              <w:t>(Same SCS for DL/UL)</w:t>
            </w:r>
          </w:p>
        </w:tc>
        <w:tc>
          <w:tcPr>
            <w:tcW w:w="184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7069E2" w:rsidRPr="00D47A23" w:rsidRDefault="007069E2" w:rsidP="00882FD1">
            <w:pPr>
              <w:rPr>
                <w:b/>
                <w:bCs/>
                <w:sz w:val="18"/>
                <w:szCs w:val="18"/>
                <w:lang w:eastAsia="zh-TW"/>
              </w:rPr>
            </w:pPr>
            <w:r>
              <w:rPr>
                <w:b/>
                <w:bCs/>
                <w:sz w:val="18"/>
                <w:szCs w:val="18"/>
                <w:lang w:eastAsia="zh-TW"/>
              </w:rPr>
              <w:t>Allowed or not</w:t>
            </w:r>
          </w:p>
        </w:tc>
        <w:tc>
          <w:tcPr>
            <w:tcW w:w="666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7069E2" w:rsidRPr="00D47A23" w:rsidRDefault="007069E2" w:rsidP="00882FD1">
            <w:pPr>
              <w:rPr>
                <w:b/>
                <w:bCs/>
                <w:sz w:val="18"/>
                <w:szCs w:val="18"/>
                <w:lang w:eastAsia="zh-TW"/>
              </w:rPr>
            </w:pPr>
            <w:r>
              <w:rPr>
                <w:b/>
                <w:bCs/>
                <w:sz w:val="18"/>
                <w:szCs w:val="18"/>
                <w:lang w:eastAsia="zh-TW"/>
              </w:rPr>
              <w:t>Expected UE behaviour</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Case 1: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Same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If single DCI is d</w:t>
            </w:r>
            <w:r>
              <w:rPr>
                <w:sz w:val="18"/>
                <w:szCs w:val="18"/>
                <w:lang w:eastAsia="zh-TW"/>
              </w:rPr>
              <w:t>etected, UE switches to the designated</w:t>
            </w:r>
            <w:r w:rsidRPr="00D47A23">
              <w:rPr>
                <w:sz w:val="18"/>
                <w:szCs w:val="18"/>
                <w:lang w:eastAsia="zh-TW"/>
              </w:rPr>
              <w:t xml:space="preserve"> DL/UL BWP pair no matter which DCI is detected</w:t>
            </w:r>
            <w:r>
              <w:rPr>
                <w:sz w:val="18"/>
                <w:szCs w:val="18"/>
                <w:lang w:eastAsia="zh-TW"/>
              </w:rPr>
              <w:t xml:space="preserve"> and receive/transmit the corresponding PDSCH/PUSCH</w:t>
            </w:r>
          </w:p>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both DCIs are detected, UE switches to the </w:t>
            </w:r>
            <w:r>
              <w:rPr>
                <w:sz w:val="18"/>
                <w:szCs w:val="18"/>
                <w:lang w:eastAsia="zh-TW"/>
              </w:rPr>
              <w:t>designated</w:t>
            </w:r>
            <w:r w:rsidRPr="00D47A23">
              <w:rPr>
                <w:sz w:val="18"/>
                <w:szCs w:val="18"/>
                <w:lang w:eastAsia="zh-TW"/>
              </w:rPr>
              <w:t xml:space="preserve"> DL/UL BWP pair based on the detected DCIs</w:t>
            </w:r>
          </w:p>
          <w:p w:rsidR="007069E2" w:rsidRPr="00D47A23" w:rsidRDefault="007069E2" w:rsidP="00882FD1">
            <w:pPr>
              <w:pStyle w:val="af9"/>
              <w:numPr>
                <w:ilvl w:val="1"/>
                <w:numId w:val="34"/>
              </w:numPr>
              <w:spacing w:after="0"/>
              <w:rPr>
                <w:sz w:val="18"/>
                <w:szCs w:val="18"/>
                <w:lang w:eastAsia="zh-TW"/>
              </w:rPr>
            </w:pPr>
            <w:r w:rsidRPr="00D47A23">
              <w:rPr>
                <w:sz w:val="18"/>
                <w:szCs w:val="18"/>
                <w:lang w:eastAsia="zh-TW"/>
              </w:rPr>
              <w:t>Both PDSCH and PUSCH scheduled by the DCIs are not dropped</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Case 2: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Same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single DCI is detected, UE switches to the </w:t>
            </w:r>
            <w:r>
              <w:rPr>
                <w:sz w:val="18"/>
                <w:szCs w:val="18"/>
                <w:lang w:eastAsia="zh-TW"/>
              </w:rPr>
              <w:t>designated</w:t>
            </w:r>
            <w:r w:rsidRPr="00D47A23">
              <w:rPr>
                <w:sz w:val="18"/>
                <w:szCs w:val="18"/>
                <w:lang w:eastAsia="zh-TW"/>
              </w:rPr>
              <w:t xml:space="preserve"> DL/UL BWP pair no matter which DCI is detected</w:t>
            </w:r>
            <w:r>
              <w:rPr>
                <w:sz w:val="18"/>
                <w:szCs w:val="18"/>
                <w:lang w:eastAsia="zh-TW"/>
              </w:rPr>
              <w:t xml:space="preserve"> and receive/transmit the corresponding PDSCH/PUSCH</w:t>
            </w:r>
          </w:p>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both DCIs are detected, UE switches to the </w:t>
            </w:r>
            <w:r>
              <w:rPr>
                <w:sz w:val="18"/>
                <w:szCs w:val="18"/>
                <w:lang w:eastAsia="zh-TW"/>
              </w:rPr>
              <w:t>designated</w:t>
            </w:r>
            <w:r w:rsidRPr="00D47A23">
              <w:rPr>
                <w:sz w:val="18"/>
                <w:szCs w:val="18"/>
                <w:lang w:eastAsia="zh-TW"/>
              </w:rPr>
              <w:t xml:space="preserve"> DL/UL BWP pair based on the detected DCIs</w:t>
            </w:r>
            <w:r>
              <w:rPr>
                <w:sz w:val="18"/>
                <w:szCs w:val="18"/>
                <w:lang w:eastAsia="zh-TW"/>
              </w:rPr>
              <w:t xml:space="preserve">; </w:t>
            </w:r>
            <w:r w:rsidRPr="00D47A23">
              <w:rPr>
                <w:sz w:val="18"/>
                <w:szCs w:val="18"/>
                <w:lang w:eastAsia="zh-TW"/>
              </w:rPr>
              <w:t>earlier PDSCH or PUSCH scheduled by the 1st DCI indicating DL/UL BWP pair change will be dropped</w:t>
            </w:r>
          </w:p>
          <w:p w:rsidR="007069E2" w:rsidRPr="00D47A23" w:rsidRDefault="007069E2" w:rsidP="00882FD1">
            <w:pPr>
              <w:pStyle w:val="af9"/>
              <w:numPr>
                <w:ilvl w:val="1"/>
                <w:numId w:val="34"/>
              </w:numPr>
              <w:spacing w:after="0"/>
              <w:rPr>
                <w:sz w:val="18"/>
                <w:szCs w:val="18"/>
                <w:lang w:eastAsia="zh-TW"/>
              </w:rPr>
            </w:pPr>
            <w:r w:rsidRPr="00D47A23">
              <w:rPr>
                <w:sz w:val="18"/>
                <w:szCs w:val="18"/>
                <w:lang w:eastAsia="zh-TW"/>
              </w:rPr>
              <w:t>If PDSCH is dropped, PUSCH Tx scheduled by the 2nd DCI is kept and can be viewed as an ACK from a UE to gNB for the DL/UL BWP pair change</w:t>
            </w:r>
          </w:p>
          <w:p w:rsidR="007069E2" w:rsidRPr="00D47A23" w:rsidRDefault="007069E2" w:rsidP="00882FD1">
            <w:pPr>
              <w:pStyle w:val="af9"/>
              <w:numPr>
                <w:ilvl w:val="1"/>
                <w:numId w:val="34"/>
              </w:numPr>
              <w:spacing w:after="0"/>
              <w:rPr>
                <w:sz w:val="18"/>
                <w:szCs w:val="18"/>
                <w:lang w:eastAsia="zh-TW"/>
              </w:rPr>
            </w:pPr>
            <w:r w:rsidRPr="00D47A23">
              <w:rPr>
                <w:sz w:val="18"/>
                <w:szCs w:val="18"/>
                <w:lang w:eastAsia="zh-TW"/>
              </w:rPr>
              <w:t>If PUSCH is dropped, HARQ-ACK to the PDSCH scheduled by the 2nd DCI can be viewed as an ACK from a UE to gNB for the DL/UL BWP pair change</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Case 3: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Different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No</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rPr>
                <w:sz w:val="18"/>
                <w:szCs w:val="18"/>
                <w:lang w:eastAsia="zh-TW"/>
              </w:rPr>
            </w:pPr>
            <w:r>
              <w:rPr>
                <w:sz w:val="18"/>
                <w:szCs w:val="18"/>
                <w:lang w:eastAsia="zh-TW"/>
              </w:rPr>
              <w:t>UE does not expect this case</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Case 4: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Different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No</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spacing w:after="0"/>
              <w:rPr>
                <w:sz w:val="18"/>
                <w:szCs w:val="18"/>
                <w:lang w:eastAsia="zh-TW"/>
              </w:rPr>
            </w:pPr>
            <w:r>
              <w:rPr>
                <w:sz w:val="18"/>
                <w:szCs w:val="18"/>
                <w:lang w:eastAsia="zh-TW"/>
              </w:rPr>
              <w:t>UE does not expect this case</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Case 5: FDD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N/A</w:t>
            </w:r>
          </w:p>
          <w:p w:rsidR="007069E2" w:rsidRPr="00D47A23" w:rsidRDefault="007069E2" w:rsidP="00882FD1">
            <w:pPr>
              <w:rPr>
                <w:sz w:val="18"/>
                <w:szCs w:val="18"/>
                <w:lang w:eastAsia="zh-TW"/>
              </w:rPr>
            </w:pPr>
            <w:r w:rsidRPr="00D47A23">
              <w:rPr>
                <w:sz w:val="18"/>
                <w:szCs w:val="18"/>
                <w:lang w:eastAsia="zh-TW"/>
              </w:rPr>
              <w:t>(no DL/UL BWP pairing in FDD)</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single DCI is detected, UE switches its DL BWP or UL BWP to the </w:t>
            </w:r>
            <w:r>
              <w:rPr>
                <w:sz w:val="18"/>
                <w:szCs w:val="18"/>
                <w:lang w:eastAsia="zh-TW"/>
              </w:rPr>
              <w:t>designated</w:t>
            </w:r>
            <w:r w:rsidRPr="00D47A23">
              <w:rPr>
                <w:sz w:val="18"/>
                <w:szCs w:val="18"/>
                <w:lang w:eastAsia="zh-TW"/>
              </w:rPr>
              <w:t xml:space="preserve"> one based on the detected DCI</w:t>
            </w:r>
            <w:r>
              <w:rPr>
                <w:sz w:val="18"/>
                <w:szCs w:val="18"/>
                <w:lang w:eastAsia="zh-TW"/>
              </w:rPr>
              <w:t xml:space="preserve"> and receive/transmit the corresponding PDSCH/PUSCH</w:t>
            </w:r>
          </w:p>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both DCIs are detected, UE switches its DL BWP and UL BWP to the </w:t>
            </w:r>
            <w:r>
              <w:rPr>
                <w:sz w:val="18"/>
                <w:szCs w:val="18"/>
                <w:lang w:eastAsia="zh-TW"/>
              </w:rPr>
              <w:t>designated</w:t>
            </w:r>
            <w:r w:rsidRPr="00D47A23">
              <w:rPr>
                <w:sz w:val="18"/>
                <w:szCs w:val="18"/>
                <w:lang w:eastAsia="zh-TW"/>
              </w:rPr>
              <w:t xml:space="preserve"> ones based on the detected DCIs</w:t>
            </w:r>
          </w:p>
          <w:p w:rsidR="007069E2" w:rsidRPr="00591516" w:rsidRDefault="007069E2" w:rsidP="00882FD1">
            <w:pPr>
              <w:pStyle w:val="af9"/>
              <w:numPr>
                <w:ilvl w:val="1"/>
                <w:numId w:val="34"/>
              </w:numPr>
              <w:spacing w:after="0"/>
              <w:rPr>
                <w:sz w:val="18"/>
                <w:szCs w:val="18"/>
                <w:lang w:eastAsia="zh-TW"/>
              </w:rPr>
            </w:pPr>
            <w:r w:rsidRPr="00D47A23">
              <w:rPr>
                <w:sz w:val="18"/>
                <w:szCs w:val="18"/>
                <w:lang w:eastAsia="zh-TW"/>
              </w:rPr>
              <w:t>Both PDSCH and PUSCH scheduled by the DCIs are not dropped</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Case 6:</w:t>
            </w:r>
          </w:p>
          <w:p w:rsidR="007069E2" w:rsidRPr="00D47A23" w:rsidRDefault="007069E2" w:rsidP="00882FD1">
            <w:pPr>
              <w:rPr>
                <w:sz w:val="18"/>
                <w:szCs w:val="18"/>
                <w:lang w:eastAsia="zh-TW"/>
              </w:rPr>
            </w:pPr>
            <w:r w:rsidRPr="00D47A23">
              <w:rPr>
                <w:sz w:val="18"/>
                <w:szCs w:val="18"/>
                <w:lang w:eastAsia="zh-TW"/>
              </w:rPr>
              <w:t>FDD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N/A</w:t>
            </w:r>
          </w:p>
          <w:p w:rsidR="007069E2" w:rsidRPr="00D47A23" w:rsidRDefault="007069E2" w:rsidP="00882FD1">
            <w:pPr>
              <w:rPr>
                <w:sz w:val="18"/>
                <w:szCs w:val="18"/>
                <w:lang w:eastAsia="zh-TW"/>
              </w:rPr>
            </w:pPr>
            <w:r w:rsidRPr="00D47A23">
              <w:rPr>
                <w:sz w:val="18"/>
                <w:szCs w:val="18"/>
                <w:lang w:eastAsia="zh-TW"/>
              </w:rPr>
              <w:t>(no DL/UL BWP pairing in FDD)</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If single DCI is detected, UE switches its DL BWP or UL BWP based on the detected DCI</w:t>
            </w:r>
            <w:r>
              <w:rPr>
                <w:sz w:val="18"/>
                <w:szCs w:val="18"/>
                <w:lang w:eastAsia="zh-TW"/>
              </w:rPr>
              <w:t xml:space="preserve"> and receive/transmit the corresponding PDSCH/PUSCH</w:t>
            </w:r>
          </w:p>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both DCIs are detected, UE switches its DL BWP and UL BWP to the </w:t>
            </w:r>
            <w:r>
              <w:rPr>
                <w:sz w:val="18"/>
                <w:szCs w:val="18"/>
                <w:lang w:eastAsia="zh-TW"/>
              </w:rPr>
              <w:t>designated</w:t>
            </w:r>
            <w:r w:rsidRPr="00D47A23">
              <w:rPr>
                <w:sz w:val="18"/>
                <w:szCs w:val="18"/>
                <w:lang w:eastAsia="zh-TW"/>
              </w:rPr>
              <w:t xml:space="preserve"> ones based on the detected DCIs</w:t>
            </w:r>
            <w:r>
              <w:rPr>
                <w:sz w:val="18"/>
                <w:szCs w:val="18"/>
                <w:lang w:eastAsia="zh-TW"/>
              </w:rPr>
              <w:t>;</w:t>
            </w:r>
            <w:r w:rsidRPr="00D47A23">
              <w:rPr>
                <w:sz w:val="18"/>
                <w:szCs w:val="18"/>
                <w:lang w:eastAsia="zh-TW"/>
              </w:rPr>
              <w:t xml:space="preserve"> earlier PDSCH or PUSCH scheduled by the 1st DCI indicating DL BWP or UL BWP change will be dropped; later PDSCH or PUSCH scheduled by the 2nd DCI indicating DL BWP or UL BWP change will be kept</w:t>
            </w:r>
          </w:p>
          <w:p w:rsidR="007069E2" w:rsidRPr="00D47A23" w:rsidRDefault="007069E2" w:rsidP="00882FD1">
            <w:pPr>
              <w:pStyle w:val="af9"/>
              <w:numPr>
                <w:ilvl w:val="1"/>
                <w:numId w:val="34"/>
              </w:numPr>
              <w:spacing w:after="0"/>
              <w:rPr>
                <w:sz w:val="18"/>
                <w:szCs w:val="18"/>
                <w:lang w:eastAsia="zh-TW"/>
              </w:rPr>
            </w:pPr>
            <w:r w:rsidRPr="00D47A23">
              <w:rPr>
                <w:sz w:val="18"/>
                <w:szCs w:val="18"/>
                <w:lang w:eastAsia="zh-TW"/>
              </w:rPr>
              <w:t>There is no ACK from a UE to gNB for the DL BWP or UL BWP change indicated by the 1st DCI</w:t>
            </w:r>
          </w:p>
          <w:p w:rsidR="007069E2" w:rsidRPr="00D47A23" w:rsidRDefault="007069E2" w:rsidP="00882FD1">
            <w:pPr>
              <w:pStyle w:val="af9"/>
              <w:numPr>
                <w:ilvl w:val="1"/>
                <w:numId w:val="34"/>
              </w:numPr>
              <w:spacing w:after="0"/>
              <w:rPr>
                <w:sz w:val="18"/>
                <w:szCs w:val="18"/>
                <w:lang w:eastAsia="zh-TW"/>
              </w:rPr>
            </w:pPr>
            <w:r w:rsidRPr="00D47A23">
              <w:rPr>
                <w:sz w:val="18"/>
                <w:szCs w:val="18"/>
                <w:lang w:eastAsia="zh-TW"/>
              </w:rPr>
              <w:t>There is ACK from a UE to gNB for the DL BWP or UL BWP change indicated by the 2nd DCI</w:t>
            </w:r>
          </w:p>
        </w:tc>
      </w:tr>
    </w:tbl>
    <w:p w:rsidR="007069E2" w:rsidRDefault="007069E2" w:rsidP="007069E2">
      <w:pPr>
        <w:spacing w:after="0"/>
        <w:rPr>
          <w:bCs/>
        </w:rPr>
      </w:pPr>
    </w:p>
    <w:p w:rsidR="007069E2" w:rsidRDefault="007069E2" w:rsidP="007069E2">
      <w:pPr>
        <w:spacing w:after="0"/>
        <w:rPr>
          <w:bCs/>
        </w:rPr>
      </w:pPr>
    </w:p>
    <w:p w:rsidR="007069E2" w:rsidRDefault="007069E2" w:rsidP="003A05DF">
      <w:pPr>
        <w:spacing w:after="0"/>
        <w:rPr>
          <w:b/>
        </w:rPr>
      </w:pPr>
    </w:p>
    <w:p w:rsidR="00FB0FF5" w:rsidRDefault="00FB0FF5" w:rsidP="003A05DF">
      <w:pPr>
        <w:spacing w:after="0"/>
        <w:rPr>
          <w:b/>
        </w:rPr>
      </w:pPr>
    </w:p>
    <w:p w:rsidR="001D5B86" w:rsidRPr="001D5B86" w:rsidRDefault="00384CF5" w:rsidP="00FB0FF5">
      <w:pPr>
        <w:pStyle w:val="1"/>
        <w:rPr>
          <w:rFonts w:cs="Arial"/>
          <w:color w:val="000000"/>
          <w:lang w:eastAsia="zh-TW"/>
        </w:rPr>
      </w:pPr>
      <w:r w:rsidRPr="00467103">
        <w:rPr>
          <w:rFonts w:cs="Arial"/>
          <w:color w:val="000000"/>
          <w:lang w:eastAsia="zh-TW"/>
        </w:rPr>
        <w:lastRenderedPageBreak/>
        <w:t>Reference</w:t>
      </w:r>
    </w:p>
    <w:p w:rsidR="005B22E3" w:rsidRDefault="005B22E3" w:rsidP="005B22E3">
      <w:pPr>
        <w:pStyle w:val="References"/>
      </w:pPr>
      <w:r>
        <w:t>3GPP TS 38.213 g60</w:t>
      </w:r>
      <w:r w:rsidRPr="00587815">
        <w:rPr>
          <w:rFonts w:hint="eastAsia"/>
        </w:rPr>
        <w:t>,</w:t>
      </w:r>
      <w:r w:rsidRPr="00587815">
        <w:t xml:space="preserve"> ”</w:t>
      </w:r>
      <w:r>
        <w:t>NR;</w:t>
      </w:r>
      <w:r w:rsidRPr="00E31B94">
        <w:t xml:space="preserve"> Physical layer procedures for control</w:t>
      </w:r>
      <w:r w:rsidRPr="00587815">
        <w:t>”</w:t>
      </w:r>
    </w:p>
    <w:p w:rsidR="00E17FDB" w:rsidRDefault="00E17FDB" w:rsidP="00E17FDB">
      <w:pPr>
        <w:rPr>
          <w:lang w:val="en-US"/>
        </w:rPr>
      </w:pPr>
      <w:bookmarkStart w:id="2" w:name="_GoBack"/>
      <w:bookmarkEnd w:id="2"/>
    </w:p>
    <w:sectPr w:rsidR="00E17FDB" w:rsidSect="007B24D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492" w:rsidRDefault="009B7492">
      <w:r>
        <w:separator/>
      </w:r>
    </w:p>
  </w:endnote>
  <w:endnote w:type="continuationSeparator" w:id="0">
    <w:p w:rsidR="009B7492" w:rsidRDefault="009B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492" w:rsidRDefault="009B7492">
      <w:r>
        <w:separator/>
      </w:r>
    </w:p>
  </w:footnote>
  <w:footnote w:type="continuationSeparator" w:id="0">
    <w:p w:rsidR="009B7492" w:rsidRDefault="009B74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33B"/>
    <w:multiLevelType w:val="hybridMultilevel"/>
    <w:tmpl w:val="7076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8F01F0E"/>
    <w:multiLevelType w:val="hybridMultilevel"/>
    <w:tmpl w:val="4AAACD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97E52C8"/>
    <w:multiLevelType w:val="hybridMultilevel"/>
    <w:tmpl w:val="FC284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D7DF9"/>
    <w:multiLevelType w:val="hybridMultilevel"/>
    <w:tmpl w:val="16564350"/>
    <w:lvl w:ilvl="0" w:tplc="FEE4F838">
      <w:start w:val="8"/>
      <w:numFmt w:val="bullet"/>
      <w:lvlText w:val=""/>
      <w:lvlJc w:val="left"/>
      <w:pPr>
        <w:ind w:left="770" w:hanging="360"/>
      </w:pPr>
      <w:rPr>
        <w:rFonts w:ascii="Wingdings" w:eastAsia="新細明體"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21806EB4"/>
    <w:multiLevelType w:val="multilevel"/>
    <w:tmpl w:val="58A0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DD735C"/>
    <w:multiLevelType w:val="multilevel"/>
    <w:tmpl w:val="E5962F64"/>
    <w:lvl w:ilvl="0">
      <w:start w:val="1"/>
      <w:numFmt w:val="decimal"/>
      <w:pStyle w:val="1"/>
      <w:lvlText w:val="%1"/>
      <w:lvlJc w:val="left"/>
      <w:pPr>
        <w:tabs>
          <w:tab w:val="num" w:pos="432"/>
        </w:tabs>
        <w:ind w:left="432" w:hanging="432"/>
      </w:pPr>
    </w:lvl>
    <w:lvl w:ilvl="1">
      <w:start w:val="1"/>
      <w:numFmt w:val="decimal"/>
      <w:pStyle w:val="2"/>
      <w:suff w:val="space"/>
      <w:lvlText w:val="%1.%2"/>
      <w:lvlJc w:val="left"/>
      <w:pPr>
        <w:ind w:left="0" w:firstLine="0"/>
      </w:pPr>
    </w:lvl>
    <w:lvl w:ilvl="2">
      <w:start w:val="1"/>
      <w:numFmt w:val="decimal"/>
      <w:pStyle w:val="3"/>
      <w:lvlText w:val="%1.%2.%3"/>
      <w:lvlJc w:val="left"/>
      <w:pPr>
        <w:tabs>
          <w:tab w:val="num" w:pos="720"/>
        </w:tabs>
        <w:ind w:left="720" w:hanging="720"/>
      </w:pPr>
      <w:rPr>
        <w:b/>
      </w:rPr>
    </w:lvl>
    <w:lvl w:ilvl="3">
      <w:start w:val="1"/>
      <w:numFmt w:val="decimal"/>
      <w:pStyle w:val="4"/>
      <w:lvlText w:val="%1.%2.%3.%4"/>
      <w:lvlJc w:val="left"/>
      <w:pPr>
        <w:tabs>
          <w:tab w:val="num" w:pos="864"/>
        </w:tabs>
        <w:ind w:left="864" w:hanging="864"/>
      </w:pPr>
      <w:rPr>
        <w:b/>
      </w:rPr>
    </w:lvl>
    <w:lvl w:ilvl="4">
      <w:start w:val="1"/>
      <w:numFmt w:val="decimal"/>
      <w:pStyle w:val="5"/>
      <w:lvlText w:val="%1.%2.%3.%4.%5"/>
      <w:lvlJc w:val="left"/>
      <w:pPr>
        <w:tabs>
          <w:tab w:val="num" w:pos="0"/>
        </w:tabs>
        <w:ind w:left="0" w:firstLine="0"/>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5CF22D3"/>
    <w:multiLevelType w:val="hybridMultilevel"/>
    <w:tmpl w:val="58C053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76BA2"/>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54E62"/>
    <w:multiLevelType w:val="hybridMultilevel"/>
    <w:tmpl w:val="B60ED03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1747EF8"/>
    <w:multiLevelType w:val="hybridMultilevel"/>
    <w:tmpl w:val="ABE4DF62"/>
    <w:lvl w:ilvl="0" w:tplc="0BB8EE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6C03509"/>
    <w:multiLevelType w:val="multilevel"/>
    <w:tmpl w:val="9760D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D633FDB"/>
    <w:multiLevelType w:val="hybridMultilevel"/>
    <w:tmpl w:val="E00C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464699"/>
    <w:multiLevelType w:val="hybridMultilevel"/>
    <w:tmpl w:val="61EE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41160A0"/>
    <w:multiLevelType w:val="hybridMultilevel"/>
    <w:tmpl w:val="4A02B998"/>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5F6005E"/>
    <w:multiLevelType w:val="hybridMultilevel"/>
    <w:tmpl w:val="7778B89A"/>
    <w:lvl w:ilvl="0" w:tplc="838AD7B4">
      <w:start w:val="1"/>
      <w:numFmt w:val="bullet"/>
      <w:lvlText w:val="•"/>
      <w:lvlJc w:val="left"/>
      <w:pPr>
        <w:tabs>
          <w:tab w:val="num" w:pos="720"/>
        </w:tabs>
        <w:ind w:left="720" w:hanging="360"/>
      </w:pPr>
      <w:rPr>
        <w:rFonts w:ascii="Arial" w:hAnsi="Arial" w:hint="default"/>
      </w:rPr>
    </w:lvl>
    <w:lvl w:ilvl="1" w:tplc="944CC31E">
      <w:start w:val="96"/>
      <w:numFmt w:val="bullet"/>
      <w:lvlText w:val="–"/>
      <w:lvlJc w:val="left"/>
      <w:pPr>
        <w:tabs>
          <w:tab w:val="num" w:pos="1440"/>
        </w:tabs>
        <w:ind w:left="1440" w:hanging="360"/>
      </w:pPr>
      <w:rPr>
        <w:rFonts w:ascii="Calibri Light" w:hAnsi="Calibri Light" w:hint="default"/>
      </w:rPr>
    </w:lvl>
    <w:lvl w:ilvl="2" w:tplc="10A25D10" w:tentative="1">
      <w:start w:val="1"/>
      <w:numFmt w:val="bullet"/>
      <w:lvlText w:val="•"/>
      <w:lvlJc w:val="left"/>
      <w:pPr>
        <w:tabs>
          <w:tab w:val="num" w:pos="2160"/>
        </w:tabs>
        <w:ind w:left="2160" w:hanging="360"/>
      </w:pPr>
      <w:rPr>
        <w:rFonts w:ascii="Arial" w:hAnsi="Arial" w:hint="default"/>
      </w:rPr>
    </w:lvl>
    <w:lvl w:ilvl="3" w:tplc="97006FC0" w:tentative="1">
      <w:start w:val="1"/>
      <w:numFmt w:val="bullet"/>
      <w:lvlText w:val="•"/>
      <w:lvlJc w:val="left"/>
      <w:pPr>
        <w:tabs>
          <w:tab w:val="num" w:pos="2880"/>
        </w:tabs>
        <w:ind w:left="2880" w:hanging="360"/>
      </w:pPr>
      <w:rPr>
        <w:rFonts w:ascii="Arial" w:hAnsi="Arial" w:hint="default"/>
      </w:rPr>
    </w:lvl>
    <w:lvl w:ilvl="4" w:tplc="756AD7E6" w:tentative="1">
      <w:start w:val="1"/>
      <w:numFmt w:val="bullet"/>
      <w:lvlText w:val="•"/>
      <w:lvlJc w:val="left"/>
      <w:pPr>
        <w:tabs>
          <w:tab w:val="num" w:pos="3600"/>
        </w:tabs>
        <w:ind w:left="3600" w:hanging="360"/>
      </w:pPr>
      <w:rPr>
        <w:rFonts w:ascii="Arial" w:hAnsi="Arial" w:hint="default"/>
      </w:rPr>
    </w:lvl>
    <w:lvl w:ilvl="5" w:tplc="549069A4" w:tentative="1">
      <w:start w:val="1"/>
      <w:numFmt w:val="bullet"/>
      <w:lvlText w:val="•"/>
      <w:lvlJc w:val="left"/>
      <w:pPr>
        <w:tabs>
          <w:tab w:val="num" w:pos="4320"/>
        </w:tabs>
        <w:ind w:left="4320" w:hanging="360"/>
      </w:pPr>
      <w:rPr>
        <w:rFonts w:ascii="Arial" w:hAnsi="Arial" w:hint="default"/>
      </w:rPr>
    </w:lvl>
    <w:lvl w:ilvl="6" w:tplc="2850CC3E" w:tentative="1">
      <w:start w:val="1"/>
      <w:numFmt w:val="bullet"/>
      <w:lvlText w:val="•"/>
      <w:lvlJc w:val="left"/>
      <w:pPr>
        <w:tabs>
          <w:tab w:val="num" w:pos="5040"/>
        </w:tabs>
        <w:ind w:left="5040" w:hanging="360"/>
      </w:pPr>
      <w:rPr>
        <w:rFonts w:ascii="Arial" w:hAnsi="Arial" w:hint="default"/>
      </w:rPr>
    </w:lvl>
    <w:lvl w:ilvl="7" w:tplc="F79E017A" w:tentative="1">
      <w:start w:val="1"/>
      <w:numFmt w:val="bullet"/>
      <w:lvlText w:val="•"/>
      <w:lvlJc w:val="left"/>
      <w:pPr>
        <w:tabs>
          <w:tab w:val="num" w:pos="5760"/>
        </w:tabs>
        <w:ind w:left="5760" w:hanging="360"/>
      </w:pPr>
      <w:rPr>
        <w:rFonts w:ascii="Arial" w:hAnsi="Arial" w:hint="default"/>
      </w:rPr>
    </w:lvl>
    <w:lvl w:ilvl="8" w:tplc="E29E62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826DD"/>
    <w:multiLevelType w:val="hybridMultilevel"/>
    <w:tmpl w:val="58B46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462325E"/>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C90D17"/>
    <w:multiLevelType w:val="hybridMultilevel"/>
    <w:tmpl w:val="BCAC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AE6D7F"/>
    <w:multiLevelType w:val="hybridMultilevel"/>
    <w:tmpl w:val="3BCA1416"/>
    <w:lvl w:ilvl="0" w:tplc="FEE4F838">
      <w:start w:val="8"/>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20"/>
  </w:num>
  <w:num w:numId="4">
    <w:abstractNumId w:val="15"/>
  </w:num>
  <w:num w:numId="5">
    <w:abstractNumId w:val="2"/>
  </w:num>
  <w:num w:numId="6">
    <w:abstractNumId w:val="23"/>
  </w:num>
  <w:num w:numId="7">
    <w:abstractNumId w:val="22"/>
  </w:num>
  <w:num w:numId="8">
    <w:abstractNumId w:val="9"/>
  </w:num>
  <w:num w:numId="9">
    <w:abstractNumId w:val="12"/>
  </w:num>
  <w:num w:numId="10">
    <w:abstractNumId w:val="1"/>
  </w:num>
  <w:num w:numId="11">
    <w:abstractNumId w:val="31"/>
  </w:num>
  <w:num w:numId="12">
    <w:abstractNumId w:val="8"/>
  </w:num>
  <w:num w:numId="13">
    <w:abstractNumId w:val="27"/>
  </w:num>
  <w:num w:numId="14">
    <w:abstractNumId w:val="19"/>
  </w:num>
  <w:num w:numId="15">
    <w:abstractNumId w:val="11"/>
  </w:num>
  <w:num w:numId="16">
    <w:abstractNumId w:val="30"/>
  </w:num>
  <w:num w:numId="17">
    <w:abstractNumId w:val="16"/>
  </w:num>
  <w:num w:numId="18">
    <w:abstractNumId w:val="7"/>
  </w:num>
  <w:num w:numId="19">
    <w:abstractNumId w:val="32"/>
  </w:num>
  <w:num w:numId="20">
    <w:abstractNumId w:val="10"/>
  </w:num>
  <w:num w:numId="21">
    <w:abstractNumId w:val="21"/>
  </w:num>
  <w:num w:numId="22">
    <w:abstractNumId w:val="28"/>
  </w:num>
  <w:num w:numId="23">
    <w:abstractNumId w:val="4"/>
  </w:num>
  <w:num w:numId="24">
    <w:abstractNumId w:val="26"/>
  </w:num>
  <w:num w:numId="25">
    <w:abstractNumId w:val="6"/>
  </w:num>
  <w:num w:numId="26">
    <w:abstractNumId w:val="14"/>
  </w:num>
  <w:num w:numId="27">
    <w:abstractNumId w:val="13"/>
  </w:num>
  <w:num w:numId="28">
    <w:abstractNumId w:val="24"/>
  </w:num>
  <w:num w:numId="29">
    <w:abstractNumId w:val="5"/>
  </w:num>
  <w:num w:numId="30">
    <w:abstractNumId w:val="29"/>
  </w:num>
  <w:num w:numId="31">
    <w:abstractNumId w:val="17"/>
  </w:num>
  <w:num w:numId="32">
    <w:abstractNumId w:val="18"/>
  </w:num>
  <w:num w:numId="33">
    <w:abstractNumId w:val="12"/>
  </w:num>
  <w:num w:numId="34">
    <w:abstractNumId w:val="5"/>
    <w:lvlOverride w:ilvl="0"/>
    <w:lvlOverride w:ilvl="1"/>
    <w:lvlOverride w:ilvl="2"/>
    <w:lvlOverride w:ilvl="3"/>
    <w:lvlOverride w:ilvl="4"/>
    <w:lvlOverride w:ilvl="5"/>
    <w:lvlOverride w:ilvl="6"/>
    <w:lvlOverride w:ilvl="7"/>
    <w:lvlOverride w:ilvl="8"/>
  </w:num>
  <w:num w:numId="35">
    <w:abstractNumId w:val="29"/>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24"/>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9D"/>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467"/>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A24"/>
    <w:rsid w:val="00023CF3"/>
    <w:rsid w:val="000241A4"/>
    <w:rsid w:val="00024741"/>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C9D"/>
    <w:rsid w:val="00030DBB"/>
    <w:rsid w:val="00031112"/>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305"/>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4C8"/>
    <w:rsid w:val="000454DE"/>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4B0"/>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3D06"/>
    <w:rsid w:val="000840DF"/>
    <w:rsid w:val="0008418A"/>
    <w:rsid w:val="00084474"/>
    <w:rsid w:val="000849A5"/>
    <w:rsid w:val="00084A37"/>
    <w:rsid w:val="00084BA4"/>
    <w:rsid w:val="00084ED0"/>
    <w:rsid w:val="00085045"/>
    <w:rsid w:val="00085B69"/>
    <w:rsid w:val="00085D35"/>
    <w:rsid w:val="00085D62"/>
    <w:rsid w:val="00085E3F"/>
    <w:rsid w:val="0008693B"/>
    <w:rsid w:val="00086B7B"/>
    <w:rsid w:val="00087048"/>
    <w:rsid w:val="00087287"/>
    <w:rsid w:val="0008738E"/>
    <w:rsid w:val="000873D3"/>
    <w:rsid w:val="00087548"/>
    <w:rsid w:val="000876AB"/>
    <w:rsid w:val="00087A4F"/>
    <w:rsid w:val="00087D2B"/>
    <w:rsid w:val="00087E93"/>
    <w:rsid w:val="00087EF5"/>
    <w:rsid w:val="00087FAE"/>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4F5"/>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2A7"/>
    <w:rsid w:val="000A34B3"/>
    <w:rsid w:val="000A380E"/>
    <w:rsid w:val="000A380F"/>
    <w:rsid w:val="000A3DF0"/>
    <w:rsid w:val="000A41ED"/>
    <w:rsid w:val="000A478B"/>
    <w:rsid w:val="000A4838"/>
    <w:rsid w:val="000A4A71"/>
    <w:rsid w:val="000A4B8C"/>
    <w:rsid w:val="000A4D33"/>
    <w:rsid w:val="000A4D7F"/>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30E"/>
    <w:rsid w:val="000B460F"/>
    <w:rsid w:val="000B4669"/>
    <w:rsid w:val="000B47EC"/>
    <w:rsid w:val="000B47FC"/>
    <w:rsid w:val="000B4E45"/>
    <w:rsid w:val="000B4FDD"/>
    <w:rsid w:val="000B5145"/>
    <w:rsid w:val="000B5323"/>
    <w:rsid w:val="000B55DC"/>
    <w:rsid w:val="000B5B30"/>
    <w:rsid w:val="000B6127"/>
    <w:rsid w:val="000B6178"/>
    <w:rsid w:val="000B65A6"/>
    <w:rsid w:val="000B6CCD"/>
    <w:rsid w:val="000B6D5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85"/>
    <w:rsid w:val="000C45B2"/>
    <w:rsid w:val="000C4671"/>
    <w:rsid w:val="000C492D"/>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73E"/>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15F"/>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09D"/>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8AC"/>
    <w:rsid w:val="000F38C9"/>
    <w:rsid w:val="000F42B7"/>
    <w:rsid w:val="000F48A2"/>
    <w:rsid w:val="000F48FC"/>
    <w:rsid w:val="000F492D"/>
    <w:rsid w:val="000F4F03"/>
    <w:rsid w:val="000F5024"/>
    <w:rsid w:val="000F5254"/>
    <w:rsid w:val="000F56FA"/>
    <w:rsid w:val="000F59DE"/>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44"/>
    <w:rsid w:val="00101AA9"/>
    <w:rsid w:val="00101DB3"/>
    <w:rsid w:val="00101E87"/>
    <w:rsid w:val="001020FF"/>
    <w:rsid w:val="001023D5"/>
    <w:rsid w:val="001024A9"/>
    <w:rsid w:val="00102535"/>
    <w:rsid w:val="0010271F"/>
    <w:rsid w:val="00102971"/>
    <w:rsid w:val="00102A23"/>
    <w:rsid w:val="00102AF3"/>
    <w:rsid w:val="001033DD"/>
    <w:rsid w:val="001034A8"/>
    <w:rsid w:val="0010368E"/>
    <w:rsid w:val="0010399B"/>
    <w:rsid w:val="001039F3"/>
    <w:rsid w:val="00103AE5"/>
    <w:rsid w:val="00103F9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6EF"/>
    <w:rsid w:val="00107C35"/>
    <w:rsid w:val="00107D35"/>
    <w:rsid w:val="00107D55"/>
    <w:rsid w:val="00107D74"/>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9E9"/>
    <w:rsid w:val="00111CE3"/>
    <w:rsid w:val="00111F2C"/>
    <w:rsid w:val="00112125"/>
    <w:rsid w:val="00112304"/>
    <w:rsid w:val="001123F8"/>
    <w:rsid w:val="0011244D"/>
    <w:rsid w:val="00112480"/>
    <w:rsid w:val="0011257D"/>
    <w:rsid w:val="0011259F"/>
    <w:rsid w:val="00112601"/>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E66"/>
    <w:rsid w:val="00120108"/>
    <w:rsid w:val="0012015D"/>
    <w:rsid w:val="00120416"/>
    <w:rsid w:val="0012050F"/>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BBD"/>
    <w:rsid w:val="0012320C"/>
    <w:rsid w:val="00123CE3"/>
    <w:rsid w:val="00124490"/>
    <w:rsid w:val="00124A98"/>
    <w:rsid w:val="0012509D"/>
    <w:rsid w:val="0012514B"/>
    <w:rsid w:val="001253C5"/>
    <w:rsid w:val="00125472"/>
    <w:rsid w:val="001255B4"/>
    <w:rsid w:val="001257EE"/>
    <w:rsid w:val="00125988"/>
    <w:rsid w:val="00125D12"/>
    <w:rsid w:val="00125D24"/>
    <w:rsid w:val="00125F5E"/>
    <w:rsid w:val="00126320"/>
    <w:rsid w:val="0012637B"/>
    <w:rsid w:val="001263FF"/>
    <w:rsid w:val="001266AE"/>
    <w:rsid w:val="001269FA"/>
    <w:rsid w:val="00126E09"/>
    <w:rsid w:val="00126E1E"/>
    <w:rsid w:val="00127147"/>
    <w:rsid w:val="00127552"/>
    <w:rsid w:val="00127783"/>
    <w:rsid w:val="00127ACC"/>
    <w:rsid w:val="00127C5A"/>
    <w:rsid w:val="00127DF1"/>
    <w:rsid w:val="00130640"/>
    <w:rsid w:val="00130683"/>
    <w:rsid w:val="00130940"/>
    <w:rsid w:val="001309AD"/>
    <w:rsid w:val="00130ABB"/>
    <w:rsid w:val="00130AC4"/>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05"/>
    <w:rsid w:val="00143379"/>
    <w:rsid w:val="001437E2"/>
    <w:rsid w:val="00143961"/>
    <w:rsid w:val="00143A7D"/>
    <w:rsid w:val="00143C37"/>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9A4"/>
    <w:rsid w:val="00146CF2"/>
    <w:rsid w:val="001472C0"/>
    <w:rsid w:val="00147485"/>
    <w:rsid w:val="00147492"/>
    <w:rsid w:val="0014760C"/>
    <w:rsid w:val="00147C78"/>
    <w:rsid w:val="00147CC3"/>
    <w:rsid w:val="00147D22"/>
    <w:rsid w:val="00147D5D"/>
    <w:rsid w:val="001504E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1C9"/>
    <w:rsid w:val="001555D7"/>
    <w:rsid w:val="001557F5"/>
    <w:rsid w:val="00155801"/>
    <w:rsid w:val="00155855"/>
    <w:rsid w:val="00155931"/>
    <w:rsid w:val="001559C4"/>
    <w:rsid w:val="00155CAF"/>
    <w:rsid w:val="00155D99"/>
    <w:rsid w:val="00155DBB"/>
    <w:rsid w:val="00155F8B"/>
    <w:rsid w:val="001561BC"/>
    <w:rsid w:val="001561DB"/>
    <w:rsid w:val="0015621E"/>
    <w:rsid w:val="001563DB"/>
    <w:rsid w:val="0015641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6CF"/>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2E2"/>
    <w:rsid w:val="00173761"/>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77ECA"/>
    <w:rsid w:val="00180D94"/>
    <w:rsid w:val="001813C3"/>
    <w:rsid w:val="00181781"/>
    <w:rsid w:val="0018216F"/>
    <w:rsid w:val="001823DE"/>
    <w:rsid w:val="00182660"/>
    <w:rsid w:val="00182B95"/>
    <w:rsid w:val="00182F70"/>
    <w:rsid w:val="0018308F"/>
    <w:rsid w:val="001832B6"/>
    <w:rsid w:val="00183568"/>
    <w:rsid w:val="00183A6B"/>
    <w:rsid w:val="0018415D"/>
    <w:rsid w:val="001842CE"/>
    <w:rsid w:val="001848FA"/>
    <w:rsid w:val="00184C5B"/>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77"/>
    <w:rsid w:val="00191AA4"/>
    <w:rsid w:val="00191AD9"/>
    <w:rsid w:val="00191B90"/>
    <w:rsid w:val="00191C94"/>
    <w:rsid w:val="00191D41"/>
    <w:rsid w:val="00191E0B"/>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49E"/>
    <w:rsid w:val="001956C1"/>
    <w:rsid w:val="00195A8B"/>
    <w:rsid w:val="001960E4"/>
    <w:rsid w:val="00196349"/>
    <w:rsid w:val="00196408"/>
    <w:rsid w:val="001964D5"/>
    <w:rsid w:val="00196690"/>
    <w:rsid w:val="001968B4"/>
    <w:rsid w:val="00196B0A"/>
    <w:rsid w:val="001973F8"/>
    <w:rsid w:val="0019768C"/>
    <w:rsid w:val="00197710"/>
    <w:rsid w:val="0019781D"/>
    <w:rsid w:val="001A0481"/>
    <w:rsid w:val="001A0871"/>
    <w:rsid w:val="001A08AA"/>
    <w:rsid w:val="001A0E2A"/>
    <w:rsid w:val="001A0FA8"/>
    <w:rsid w:val="001A124D"/>
    <w:rsid w:val="001A1931"/>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C11"/>
    <w:rsid w:val="001A6E16"/>
    <w:rsid w:val="001A6E90"/>
    <w:rsid w:val="001A727F"/>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1CE"/>
    <w:rsid w:val="001B52A1"/>
    <w:rsid w:val="001B540F"/>
    <w:rsid w:val="001B5767"/>
    <w:rsid w:val="001B5908"/>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34"/>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6EAB"/>
    <w:rsid w:val="001C7079"/>
    <w:rsid w:val="001C738A"/>
    <w:rsid w:val="001C757F"/>
    <w:rsid w:val="001C75FB"/>
    <w:rsid w:val="001C77ED"/>
    <w:rsid w:val="001C793E"/>
    <w:rsid w:val="001C7B26"/>
    <w:rsid w:val="001C7D48"/>
    <w:rsid w:val="001C7DB0"/>
    <w:rsid w:val="001D028C"/>
    <w:rsid w:val="001D065C"/>
    <w:rsid w:val="001D0680"/>
    <w:rsid w:val="001D0E48"/>
    <w:rsid w:val="001D0FFE"/>
    <w:rsid w:val="001D126D"/>
    <w:rsid w:val="001D131B"/>
    <w:rsid w:val="001D1512"/>
    <w:rsid w:val="001D1585"/>
    <w:rsid w:val="001D19C3"/>
    <w:rsid w:val="001D2276"/>
    <w:rsid w:val="001D2296"/>
    <w:rsid w:val="001D240A"/>
    <w:rsid w:val="001D2F3C"/>
    <w:rsid w:val="001D3D9C"/>
    <w:rsid w:val="001D3DAD"/>
    <w:rsid w:val="001D41C6"/>
    <w:rsid w:val="001D43F9"/>
    <w:rsid w:val="001D4640"/>
    <w:rsid w:val="001D4641"/>
    <w:rsid w:val="001D4BD0"/>
    <w:rsid w:val="001D4D9E"/>
    <w:rsid w:val="001D4E60"/>
    <w:rsid w:val="001D50EA"/>
    <w:rsid w:val="001D57E4"/>
    <w:rsid w:val="001D5ADF"/>
    <w:rsid w:val="001D5B86"/>
    <w:rsid w:val="001D616E"/>
    <w:rsid w:val="001D6397"/>
    <w:rsid w:val="001D6A26"/>
    <w:rsid w:val="001D72E5"/>
    <w:rsid w:val="001D75B0"/>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673"/>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5CD7"/>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24"/>
    <w:rsid w:val="00202A4F"/>
    <w:rsid w:val="00202AE7"/>
    <w:rsid w:val="00202BF2"/>
    <w:rsid w:val="00202EB7"/>
    <w:rsid w:val="00202F35"/>
    <w:rsid w:val="0020313B"/>
    <w:rsid w:val="00203319"/>
    <w:rsid w:val="00203905"/>
    <w:rsid w:val="00203C5B"/>
    <w:rsid w:val="00203C90"/>
    <w:rsid w:val="00203D7F"/>
    <w:rsid w:val="00203E42"/>
    <w:rsid w:val="00204506"/>
    <w:rsid w:val="00205847"/>
    <w:rsid w:val="00205ADF"/>
    <w:rsid w:val="002060DF"/>
    <w:rsid w:val="00206360"/>
    <w:rsid w:val="0020654B"/>
    <w:rsid w:val="0020661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0F9"/>
    <w:rsid w:val="002143B4"/>
    <w:rsid w:val="00214C9B"/>
    <w:rsid w:val="00214FBD"/>
    <w:rsid w:val="00215038"/>
    <w:rsid w:val="002150C3"/>
    <w:rsid w:val="00215120"/>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E9C"/>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942"/>
    <w:rsid w:val="00224B39"/>
    <w:rsid w:val="00224E87"/>
    <w:rsid w:val="0022500E"/>
    <w:rsid w:val="0022536E"/>
    <w:rsid w:val="002254A0"/>
    <w:rsid w:val="00225AB1"/>
    <w:rsid w:val="00225D7A"/>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58F"/>
    <w:rsid w:val="00234B58"/>
    <w:rsid w:val="00234F1C"/>
    <w:rsid w:val="00235208"/>
    <w:rsid w:val="00235394"/>
    <w:rsid w:val="0023567A"/>
    <w:rsid w:val="00235811"/>
    <w:rsid w:val="00235930"/>
    <w:rsid w:val="00235A00"/>
    <w:rsid w:val="00235A9B"/>
    <w:rsid w:val="00235E05"/>
    <w:rsid w:val="00236127"/>
    <w:rsid w:val="002361C4"/>
    <w:rsid w:val="002368A9"/>
    <w:rsid w:val="00236B8B"/>
    <w:rsid w:val="00236C99"/>
    <w:rsid w:val="002374F2"/>
    <w:rsid w:val="002376C1"/>
    <w:rsid w:val="002377B8"/>
    <w:rsid w:val="00237D21"/>
    <w:rsid w:val="00240381"/>
    <w:rsid w:val="002403C3"/>
    <w:rsid w:val="0024063F"/>
    <w:rsid w:val="00241003"/>
    <w:rsid w:val="002416EB"/>
    <w:rsid w:val="00241874"/>
    <w:rsid w:val="00241D4B"/>
    <w:rsid w:val="00241DB4"/>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760"/>
    <w:rsid w:val="00245B82"/>
    <w:rsid w:val="0024611D"/>
    <w:rsid w:val="002461D2"/>
    <w:rsid w:val="00246231"/>
    <w:rsid w:val="00246269"/>
    <w:rsid w:val="0024657D"/>
    <w:rsid w:val="00246774"/>
    <w:rsid w:val="00246A81"/>
    <w:rsid w:val="00246CB5"/>
    <w:rsid w:val="00246D98"/>
    <w:rsid w:val="00246F19"/>
    <w:rsid w:val="002475F4"/>
    <w:rsid w:val="002476AE"/>
    <w:rsid w:val="00247A0B"/>
    <w:rsid w:val="00247DDD"/>
    <w:rsid w:val="00247F18"/>
    <w:rsid w:val="00250253"/>
    <w:rsid w:val="00250261"/>
    <w:rsid w:val="0025028C"/>
    <w:rsid w:val="0025033E"/>
    <w:rsid w:val="002506F0"/>
    <w:rsid w:val="0025092D"/>
    <w:rsid w:val="00250DFA"/>
    <w:rsid w:val="002513EB"/>
    <w:rsid w:val="002518A8"/>
    <w:rsid w:val="002518B6"/>
    <w:rsid w:val="00252052"/>
    <w:rsid w:val="002520B3"/>
    <w:rsid w:val="002521EC"/>
    <w:rsid w:val="002522DB"/>
    <w:rsid w:val="002523AB"/>
    <w:rsid w:val="002532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71D"/>
    <w:rsid w:val="002607A4"/>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BBA"/>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67AED"/>
    <w:rsid w:val="0027014B"/>
    <w:rsid w:val="00270151"/>
    <w:rsid w:val="00270245"/>
    <w:rsid w:val="00270516"/>
    <w:rsid w:val="00270758"/>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605"/>
    <w:rsid w:val="00277C31"/>
    <w:rsid w:val="00277C96"/>
    <w:rsid w:val="00277DC3"/>
    <w:rsid w:val="00277DDA"/>
    <w:rsid w:val="0028008E"/>
    <w:rsid w:val="002805CF"/>
    <w:rsid w:val="002808EC"/>
    <w:rsid w:val="00280BA0"/>
    <w:rsid w:val="00280CE6"/>
    <w:rsid w:val="00280D19"/>
    <w:rsid w:val="002810D6"/>
    <w:rsid w:val="00281205"/>
    <w:rsid w:val="00281B5F"/>
    <w:rsid w:val="00281C9D"/>
    <w:rsid w:val="00281DF6"/>
    <w:rsid w:val="00281E9E"/>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6212"/>
    <w:rsid w:val="00286259"/>
    <w:rsid w:val="002865DA"/>
    <w:rsid w:val="00286D9C"/>
    <w:rsid w:val="00287230"/>
    <w:rsid w:val="00287992"/>
    <w:rsid w:val="002879B4"/>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7EF"/>
    <w:rsid w:val="00292870"/>
    <w:rsid w:val="00292F89"/>
    <w:rsid w:val="002933E2"/>
    <w:rsid w:val="002934BC"/>
    <w:rsid w:val="0029384F"/>
    <w:rsid w:val="00293BB0"/>
    <w:rsid w:val="00293C00"/>
    <w:rsid w:val="002940CF"/>
    <w:rsid w:val="00294129"/>
    <w:rsid w:val="00294474"/>
    <w:rsid w:val="002947D8"/>
    <w:rsid w:val="00294BAD"/>
    <w:rsid w:val="00294D0A"/>
    <w:rsid w:val="00294E95"/>
    <w:rsid w:val="00294FB7"/>
    <w:rsid w:val="002958AA"/>
    <w:rsid w:val="00295C67"/>
    <w:rsid w:val="00295DFF"/>
    <w:rsid w:val="00296608"/>
    <w:rsid w:val="0029697B"/>
    <w:rsid w:val="00296F1A"/>
    <w:rsid w:val="0029702C"/>
    <w:rsid w:val="002974F2"/>
    <w:rsid w:val="00297AAB"/>
    <w:rsid w:val="00297B30"/>
    <w:rsid w:val="00297B9B"/>
    <w:rsid w:val="002A0154"/>
    <w:rsid w:val="002A01EA"/>
    <w:rsid w:val="002A0583"/>
    <w:rsid w:val="002A087F"/>
    <w:rsid w:val="002A0B16"/>
    <w:rsid w:val="002A0E26"/>
    <w:rsid w:val="002A10E0"/>
    <w:rsid w:val="002A1210"/>
    <w:rsid w:val="002A15AD"/>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D41"/>
    <w:rsid w:val="002D4E87"/>
    <w:rsid w:val="002D53E2"/>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2017"/>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694"/>
    <w:rsid w:val="002F5BAE"/>
    <w:rsid w:val="002F5CC6"/>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2B"/>
    <w:rsid w:val="00306B74"/>
    <w:rsid w:val="00306BE1"/>
    <w:rsid w:val="00306C9D"/>
    <w:rsid w:val="00306D6C"/>
    <w:rsid w:val="003070CE"/>
    <w:rsid w:val="003072A9"/>
    <w:rsid w:val="0030752C"/>
    <w:rsid w:val="00307DB0"/>
    <w:rsid w:val="00307EC2"/>
    <w:rsid w:val="003100CA"/>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3EA9"/>
    <w:rsid w:val="00314015"/>
    <w:rsid w:val="00314125"/>
    <w:rsid w:val="0031420F"/>
    <w:rsid w:val="003142D3"/>
    <w:rsid w:val="00314472"/>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115"/>
    <w:rsid w:val="0032244F"/>
    <w:rsid w:val="00322822"/>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B6"/>
    <w:rsid w:val="00326AD2"/>
    <w:rsid w:val="00326B16"/>
    <w:rsid w:val="003271A4"/>
    <w:rsid w:val="003272F9"/>
    <w:rsid w:val="00327440"/>
    <w:rsid w:val="0032746B"/>
    <w:rsid w:val="0032752D"/>
    <w:rsid w:val="003275AF"/>
    <w:rsid w:val="00327889"/>
    <w:rsid w:val="00327AFD"/>
    <w:rsid w:val="00327F43"/>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4F75"/>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2CC"/>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17A3"/>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16"/>
    <w:rsid w:val="003655D2"/>
    <w:rsid w:val="0036596F"/>
    <w:rsid w:val="00365A49"/>
    <w:rsid w:val="00366305"/>
    <w:rsid w:val="003668EE"/>
    <w:rsid w:val="00366B3B"/>
    <w:rsid w:val="00366C78"/>
    <w:rsid w:val="00366CFE"/>
    <w:rsid w:val="00367724"/>
    <w:rsid w:val="00367DE9"/>
    <w:rsid w:val="00367ED4"/>
    <w:rsid w:val="003703A4"/>
    <w:rsid w:val="0037051E"/>
    <w:rsid w:val="003707E1"/>
    <w:rsid w:val="003708B4"/>
    <w:rsid w:val="0037097E"/>
    <w:rsid w:val="00370B23"/>
    <w:rsid w:val="00370D2B"/>
    <w:rsid w:val="003713AA"/>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99F"/>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757"/>
    <w:rsid w:val="00383890"/>
    <w:rsid w:val="00383B19"/>
    <w:rsid w:val="00384013"/>
    <w:rsid w:val="003840BA"/>
    <w:rsid w:val="003840F4"/>
    <w:rsid w:val="003841C3"/>
    <w:rsid w:val="00384502"/>
    <w:rsid w:val="0038464C"/>
    <w:rsid w:val="0038479E"/>
    <w:rsid w:val="00384B9D"/>
    <w:rsid w:val="00384CF5"/>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5DF"/>
    <w:rsid w:val="003A0707"/>
    <w:rsid w:val="003A0884"/>
    <w:rsid w:val="003A09E2"/>
    <w:rsid w:val="003A0E62"/>
    <w:rsid w:val="003A1255"/>
    <w:rsid w:val="003A1479"/>
    <w:rsid w:val="003A14A8"/>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2D"/>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BD4"/>
    <w:rsid w:val="003B6FE1"/>
    <w:rsid w:val="003B7690"/>
    <w:rsid w:val="003B7B5D"/>
    <w:rsid w:val="003B7EC9"/>
    <w:rsid w:val="003B7F5E"/>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32E"/>
    <w:rsid w:val="003C4B85"/>
    <w:rsid w:val="003C4DF7"/>
    <w:rsid w:val="003C4F8E"/>
    <w:rsid w:val="003C5421"/>
    <w:rsid w:val="003C58CB"/>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55"/>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4F26"/>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32D"/>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BF"/>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22B"/>
    <w:rsid w:val="00400377"/>
    <w:rsid w:val="004003A0"/>
    <w:rsid w:val="004007AF"/>
    <w:rsid w:val="00400C97"/>
    <w:rsid w:val="00400E52"/>
    <w:rsid w:val="0040135D"/>
    <w:rsid w:val="00401373"/>
    <w:rsid w:val="0040141D"/>
    <w:rsid w:val="00401562"/>
    <w:rsid w:val="004015D4"/>
    <w:rsid w:val="0040161D"/>
    <w:rsid w:val="004016B5"/>
    <w:rsid w:val="00401BB0"/>
    <w:rsid w:val="00401EB9"/>
    <w:rsid w:val="0040228F"/>
    <w:rsid w:val="004022C2"/>
    <w:rsid w:val="00402335"/>
    <w:rsid w:val="00402433"/>
    <w:rsid w:val="004024EB"/>
    <w:rsid w:val="00402B2D"/>
    <w:rsid w:val="00402BB3"/>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8B3"/>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417"/>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1A8F"/>
    <w:rsid w:val="00432092"/>
    <w:rsid w:val="004324BA"/>
    <w:rsid w:val="004328EE"/>
    <w:rsid w:val="00432B8E"/>
    <w:rsid w:val="00432BC3"/>
    <w:rsid w:val="00432DBB"/>
    <w:rsid w:val="00432EA1"/>
    <w:rsid w:val="0043322B"/>
    <w:rsid w:val="00433234"/>
    <w:rsid w:val="004332FF"/>
    <w:rsid w:val="0043382F"/>
    <w:rsid w:val="00433CB0"/>
    <w:rsid w:val="004340D4"/>
    <w:rsid w:val="00434404"/>
    <w:rsid w:val="00434841"/>
    <w:rsid w:val="00434A8E"/>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446"/>
    <w:rsid w:val="004408DF"/>
    <w:rsid w:val="00440BF4"/>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AC6"/>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456"/>
    <w:rsid w:val="00451F89"/>
    <w:rsid w:val="0045208D"/>
    <w:rsid w:val="00452360"/>
    <w:rsid w:val="0045281C"/>
    <w:rsid w:val="004529FC"/>
    <w:rsid w:val="00452BB2"/>
    <w:rsid w:val="00453055"/>
    <w:rsid w:val="004537CD"/>
    <w:rsid w:val="004539A7"/>
    <w:rsid w:val="00453A9A"/>
    <w:rsid w:val="00453ED0"/>
    <w:rsid w:val="0045411B"/>
    <w:rsid w:val="0045411D"/>
    <w:rsid w:val="00454854"/>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587"/>
    <w:rsid w:val="004607E1"/>
    <w:rsid w:val="00460A43"/>
    <w:rsid w:val="00460BF9"/>
    <w:rsid w:val="004610FF"/>
    <w:rsid w:val="00461261"/>
    <w:rsid w:val="004612C9"/>
    <w:rsid w:val="004613E3"/>
    <w:rsid w:val="004614A5"/>
    <w:rsid w:val="004614AD"/>
    <w:rsid w:val="00461884"/>
    <w:rsid w:val="00461980"/>
    <w:rsid w:val="00462275"/>
    <w:rsid w:val="004624FB"/>
    <w:rsid w:val="00462762"/>
    <w:rsid w:val="00462862"/>
    <w:rsid w:val="00462C61"/>
    <w:rsid w:val="00463257"/>
    <w:rsid w:val="00463382"/>
    <w:rsid w:val="00463612"/>
    <w:rsid w:val="00463732"/>
    <w:rsid w:val="00463CF5"/>
    <w:rsid w:val="004640FB"/>
    <w:rsid w:val="004642B9"/>
    <w:rsid w:val="004643D0"/>
    <w:rsid w:val="004643E2"/>
    <w:rsid w:val="00464991"/>
    <w:rsid w:val="00464C1D"/>
    <w:rsid w:val="00464D39"/>
    <w:rsid w:val="00464E73"/>
    <w:rsid w:val="00464FC3"/>
    <w:rsid w:val="004652DB"/>
    <w:rsid w:val="00465437"/>
    <w:rsid w:val="00465443"/>
    <w:rsid w:val="00465690"/>
    <w:rsid w:val="004658ED"/>
    <w:rsid w:val="00465B92"/>
    <w:rsid w:val="00465D3C"/>
    <w:rsid w:val="00465F03"/>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54F"/>
    <w:rsid w:val="00484CBA"/>
    <w:rsid w:val="00484F00"/>
    <w:rsid w:val="0048504E"/>
    <w:rsid w:val="00485594"/>
    <w:rsid w:val="004857CD"/>
    <w:rsid w:val="0048580C"/>
    <w:rsid w:val="00485843"/>
    <w:rsid w:val="00485BAE"/>
    <w:rsid w:val="00485E17"/>
    <w:rsid w:val="00485EE2"/>
    <w:rsid w:val="004864F9"/>
    <w:rsid w:val="00486800"/>
    <w:rsid w:val="0048681B"/>
    <w:rsid w:val="00486D94"/>
    <w:rsid w:val="00486F0C"/>
    <w:rsid w:val="00486F51"/>
    <w:rsid w:val="00486F68"/>
    <w:rsid w:val="004871E0"/>
    <w:rsid w:val="00487282"/>
    <w:rsid w:val="00487326"/>
    <w:rsid w:val="0048736C"/>
    <w:rsid w:val="00487BE5"/>
    <w:rsid w:val="00487CBA"/>
    <w:rsid w:val="0049032D"/>
    <w:rsid w:val="00490421"/>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03"/>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8D"/>
    <w:rsid w:val="004A1BEE"/>
    <w:rsid w:val="004A215D"/>
    <w:rsid w:val="004A2255"/>
    <w:rsid w:val="004A2688"/>
    <w:rsid w:val="004A2A52"/>
    <w:rsid w:val="004A2AF8"/>
    <w:rsid w:val="004A2CA2"/>
    <w:rsid w:val="004A2D40"/>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14"/>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4F85"/>
    <w:rsid w:val="004B5208"/>
    <w:rsid w:val="004B5426"/>
    <w:rsid w:val="004B5713"/>
    <w:rsid w:val="004B5A97"/>
    <w:rsid w:val="004B5DE4"/>
    <w:rsid w:val="004B5F83"/>
    <w:rsid w:val="004B60D1"/>
    <w:rsid w:val="004B62B1"/>
    <w:rsid w:val="004B62ED"/>
    <w:rsid w:val="004B62F1"/>
    <w:rsid w:val="004B6546"/>
    <w:rsid w:val="004B68CA"/>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0CCE"/>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5FF3"/>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6A3"/>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A0B"/>
    <w:rsid w:val="004F300E"/>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C87"/>
    <w:rsid w:val="004F6E23"/>
    <w:rsid w:val="004F6E75"/>
    <w:rsid w:val="004F77B2"/>
    <w:rsid w:val="004F78E1"/>
    <w:rsid w:val="005000E4"/>
    <w:rsid w:val="0050066D"/>
    <w:rsid w:val="00500786"/>
    <w:rsid w:val="00500BF8"/>
    <w:rsid w:val="00500C6D"/>
    <w:rsid w:val="005011B0"/>
    <w:rsid w:val="005014A8"/>
    <w:rsid w:val="00501517"/>
    <w:rsid w:val="00502021"/>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40B"/>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CEB"/>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0C2"/>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687"/>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5C7"/>
    <w:rsid w:val="00541722"/>
    <w:rsid w:val="00541D56"/>
    <w:rsid w:val="00541E56"/>
    <w:rsid w:val="0054220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88"/>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AD"/>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BA"/>
    <w:rsid w:val="005659E0"/>
    <w:rsid w:val="00565A50"/>
    <w:rsid w:val="00566010"/>
    <w:rsid w:val="005660A2"/>
    <w:rsid w:val="00566151"/>
    <w:rsid w:val="00566255"/>
    <w:rsid w:val="00566532"/>
    <w:rsid w:val="005666F0"/>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06B"/>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3F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2F"/>
    <w:rsid w:val="00580EF2"/>
    <w:rsid w:val="005810D6"/>
    <w:rsid w:val="005811F1"/>
    <w:rsid w:val="005815FA"/>
    <w:rsid w:val="005821A0"/>
    <w:rsid w:val="00582222"/>
    <w:rsid w:val="005824AC"/>
    <w:rsid w:val="005824F1"/>
    <w:rsid w:val="005828AD"/>
    <w:rsid w:val="00582CB1"/>
    <w:rsid w:val="005830E6"/>
    <w:rsid w:val="00583187"/>
    <w:rsid w:val="005833D5"/>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516"/>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3E6"/>
    <w:rsid w:val="005A14A7"/>
    <w:rsid w:val="005A150F"/>
    <w:rsid w:val="005A1AF4"/>
    <w:rsid w:val="005A1B60"/>
    <w:rsid w:val="005A2217"/>
    <w:rsid w:val="005A2ADE"/>
    <w:rsid w:val="005A304C"/>
    <w:rsid w:val="005A3115"/>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2E3"/>
    <w:rsid w:val="005B23D1"/>
    <w:rsid w:val="005B25BB"/>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1A"/>
    <w:rsid w:val="005C23FF"/>
    <w:rsid w:val="005C2401"/>
    <w:rsid w:val="005C2E2F"/>
    <w:rsid w:val="005C3051"/>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17"/>
    <w:rsid w:val="005C7CB5"/>
    <w:rsid w:val="005C7D3D"/>
    <w:rsid w:val="005C7D48"/>
    <w:rsid w:val="005C7E51"/>
    <w:rsid w:val="005C7FE9"/>
    <w:rsid w:val="005D0042"/>
    <w:rsid w:val="005D0782"/>
    <w:rsid w:val="005D0F4D"/>
    <w:rsid w:val="005D11A4"/>
    <w:rsid w:val="005D1244"/>
    <w:rsid w:val="005D12CB"/>
    <w:rsid w:val="005D1616"/>
    <w:rsid w:val="005D1844"/>
    <w:rsid w:val="005D188D"/>
    <w:rsid w:val="005D1D06"/>
    <w:rsid w:val="005D2498"/>
    <w:rsid w:val="005D24AF"/>
    <w:rsid w:val="005D2673"/>
    <w:rsid w:val="005D270E"/>
    <w:rsid w:val="005D30E7"/>
    <w:rsid w:val="005D31C6"/>
    <w:rsid w:val="005D33CC"/>
    <w:rsid w:val="005D3412"/>
    <w:rsid w:val="005D3477"/>
    <w:rsid w:val="005D3938"/>
    <w:rsid w:val="005D39ED"/>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4C9"/>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DA2"/>
    <w:rsid w:val="005F1F50"/>
    <w:rsid w:val="005F21C5"/>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0FC"/>
    <w:rsid w:val="005F52D4"/>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B43"/>
    <w:rsid w:val="00600DBB"/>
    <w:rsid w:val="0060123C"/>
    <w:rsid w:val="00601673"/>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4DD"/>
    <w:rsid w:val="00604541"/>
    <w:rsid w:val="0060469B"/>
    <w:rsid w:val="00604D31"/>
    <w:rsid w:val="00604E8F"/>
    <w:rsid w:val="006054B8"/>
    <w:rsid w:val="006054CF"/>
    <w:rsid w:val="00605BA6"/>
    <w:rsid w:val="00605D12"/>
    <w:rsid w:val="00606200"/>
    <w:rsid w:val="0060667B"/>
    <w:rsid w:val="00606823"/>
    <w:rsid w:val="0060697A"/>
    <w:rsid w:val="00607053"/>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76A"/>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64D"/>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0FC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9D"/>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85D"/>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8FA"/>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97F92"/>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BAA"/>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3444"/>
    <w:rsid w:val="006C34AC"/>
    <w:rsid w:val="006C3850"/>
    <w:rsid w:val="006C3A29"/>
    <w:rsid w:val="006C3C40"/>
    <w:rsid w:val="006C3E68"/>
    <w:rsid w:val="006C422D"/>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3D8"/>
    <w:rsid w:val="006D642F"/>
    <w:rsid w:val="006D6685"/>
    <w:rsid w:val="006D6769"/>
    <w:rsid w:val="006D72D9"/>
    <w:rsid w:val="006D7C21"/>
    <w:rsid w:val="006E03D7"/>
    <w:rsid w:val="006E042B"/>
    <w:rsid w:val="006E052F"/>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2BA"/>
    <w:rsid w:val="006E6481"/>
    <w:rsid w:val="006E6A33"/>
    <w:rsid w:val="006E6FB6"/>
    <w:rsid w:val="006E7526"/>
    <w:rsid w:val="006E7B14"/>
    <w:rsid w:val="006E7E01"/>
    <w:rsid w:val="006E7F3E"/>
    <w:rsid w:val="006F06ED"/>
    <w:rsid w:val="006F1195"/>
    <w:rsid w:val="006F16B3"/>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600"/>
    <w:rsid w:val="006F7AA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C54"/>
    <w:rsid w:val="00704E63"/>
    <w:rsid w:val="0070528A"/>
    <w:rsid w:val="007054BB"/>
    <w:rsid w:val="007057DE"/>
    <w:rsid w:val="00705D0E"/>
    <w:rsid w:val="00705D15"/>
    <w:rsid w:val="00706098"/>
    <w:rsid w:val="0070646B"/>
    <w:rsid w:val="007068DD"/>
    <w:rsid w:val="007069E2"/>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1FCF"/>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6BA"/>
    <w:rsid w:val="007169AE"/>
    <w:rsid w:val="00716A39"/>
    <w:rsid w:val="00716C21"/>
    <w:rsid w:val="00717380"/>
    <w:rsid w:val="00717EBF"/>
    <w:rsid w:val="007201BC"/>
    <w:rsid w:val="007203E6"/>
    <w:rsid w:val="00720C36"/>
    <w:rsid w:val="00720FD3"/>
    <w:rsid w:val="00721586"/>
    <w:rsid w:val="007217F7"/>
    <w:rsid w:val="00721C44"/>
    <w:rsid w:val="00721C96"/>
    <w:rsid w:val="00721ED7"/>
    <w:rsid w:val="0072227B"/>
    <w:rsid w:val="007222E4"/>
    <w:rsid w:val="00722365"/>
    <w:rsid w:val="00722569"/>
    <w:rsid w:val="00722727"/>
    <w:rsid w:val="00722DC2"/>
    <w:rsid w:val="00723177"/>
    <w:rsid w:val="00723494"/>
    <w:rsid w:val="007234AF"/>
    <w:rsid w:val="0072368B"/>
    <w:rsid w:val="0072390D"/>
    <w:rsid w:val="007239F8"/>
    <w:rsid w:val="00723D48"/>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ED7"/>
    <w:rsid w:val="0073128A"/>
    <w:rsid w:val="007314A7"/>
    <w:rsid w:val="0073153E"/>
    <w:rsid w:val="00731864"/>
    <w:rsid w:val="00731AFB"/>
    <w:rsid w:val="00731E18"/>
    <w:rsid w:val="00731E23"/>
    <w:rsid w:val="007320DF"/>
    <w:rsid w:val="00732254"/>
    <w:rsid w:val="007322E8"/>
    <w:rsid w:val="00732349"/>
    <w:rsid w:val="00732545"/>
    <w:rsid w:val="007329B5"/>
    <w:rsid w:val="007329E6"/>
    <w:rsid w:val="00732AE9"/>
    <w:rsid w:val="00732C32"/>
    <w:rsid w:val="00732C74"/>
    <w:rsid w:val="00732E62"/>
    <w:rsid w:val="00732E96"/>
    <w:rsid w:val="007338DE"/>
    <w:rsid w:val="00733AD0"/>
    <w:rsid w:val="00733CDB"/>
    <w:rsid w:val="00733D4C"/>
    <w:rsid w:val="00733E39"/>
    <w:rsid w:val="00734968"/>
    <w:rsid w:val="00734F8C"/>
    <w:rsid w:val="00734FC8"/>
    <w:rsid w:val="00734FCE"/>
    <w:rsid w:val="0073532A"/>
    <w:rsid w:val="0073569E"/>
    <w:rsid w:val="007356FB"/>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92D"/>
    <w:rsid w:val="00753EDB"/>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054"/>
    <w:rsid w:val="00762555"/>
    <w:rsid w:val="0076268C"/>
    <w:rsid w:val="007626FC"/>
    <w:rsid w:val="0076270B"/>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9B1"/>
    <w:rsid w:val="00773A40"/>
    <w:rsid w:val="007740D7"/>
    <w:rsid w:val="0077422A"/>
    <w:rsid w:val="0077436F"/>
    <w:rsid w:val="007743B0"/>
    <w:rsid w:val="007748C8"/>
    <w:rsid w:val="00774A18"/>
    <w:rsid w:val="00774DDC"/>
    <w:rsid w:val="00774FB5"/>
    <w:rsid w:val="00775300"/>
    <w:rsid w:val="0077549D"/>
    <w:rsid w:val="00775C7B"/>
    <w:rsid w:val="00776463"/>
    <w:rsid w:val="007767CB"/>
    <w:rsid w:val="00776AA5"/>
    <w:rsid w:val="00776AC6"/>
    <w:rsid w:val="00777518"/>
    <w:rsid w:val="007778CE"/>
    <w:rsid w:val="00777A9B"/>
    <w:rsid w:val="00777B50"/>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EF3"/>
    <w:rsid w:val="00784F48"/>
    <w:rsid w:val="0078517D"/>
    <w:rsid w:val="0078522A"/>
    <w:rsid w:val="00785B0F"/>
    <w:rsid w:val="00785C34"/>
    <w:rsid w:val="007860F9"/>
    <w:rsid w:val="007867BC"/>
    <w:rsid w:val="0078686C"/>
    <w:rsid w:val="00786CE1"/>
    <w:rsid w:val="00786D7D"/>
    <w:rsid w:val="00786E66"/>
    <w:rsid w:val="007874EB"/>
    <w:rsid w:val="00787831"/>
    <w:rsid w:val="00787B4D"/>
    <w:rsid w:val="00787D65"/>
    <w:rsid w:val="00787FDD"/>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2FF3"/>
    <w:rsid w:val="007930BA"/>
    <w:rsid w:val="007930FC"/>
    <w:rsid w:val="0079351A"/>
    <w:rsid w:val="0079379C"/>
    <w:rsid w:val="007938EA"/>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4DF"/>
    <w:rsid w:val="007B28F4"/>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17E"/>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0B"/>
    <w:rsid w:val="007C1CB7"/>
    <w:rsid w:val="007C2029"/>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EAB"/>
    <w:rsid w:val="007C6FA9"/>
    <w:rsid w:val="007C71F8"/>
    <w:rsid w:val="007C74D4"/>
    <w:rsid w:val="007C7606"/>
    <w:rsid w:val="007D02A3"/>
    <w:rsid w:val="007D069C"/>
    <w:rsid w:val="007D0A2B"/>
    <w:rsid w:val="007D0F9C"/>
    <w:rsid w:val="007D12C6"/>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EA4"/>
    <w:rsid w:val="007D4F5A"/>
    <w:rsid w:val="007D51CF"/>
    <w:rsid w:val="007D5704"/>
    <w:rsid w:val="007D5710"/>
    <w:rsid w:val="007D5986"/>
    <w:rsid w:val="007D59BB"/>
    <w:rsid w:val="007D59E1"/>
    <w:rsid w:val="007D5A92"/>
    <w:rsid w:val="007D5E54"/>
    <w:rsid w:val="007D60BF"/>
    <w:rsid w:val="007D6283"/>
    <w:rsid w:val="007D6831"/>
    <w:rsid w:val="007D6871"/>
    <w:rsid w:val="007D6D87"/>
    <w:rsid w:val="007D6DBA"/>
    <w:rsid w:val="007D6E4D"/>
    <w:rsid w:val="007D6F5F"/>
    <w:rsid w:val="007D7418"/>
    <w:rsid w:val="007D759F"/>
    <w:rsid w:val="007D7613"/>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0FA1"/>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BDB"/>
    <w:rsid w:val="00811D19"/>
    <w:rsid w:val="00811F21"/>
    <w:rsid w:val="00811FEE"/>
    <w:rsid w:val="008121C4"/>
    <w:rsid w:val="008126DD"/>
    <w:rsid w:val="0081274C"/>
    <w:rsid w:val="00812980"/>
    <w:rsid w:val="008129D2"/>
    <w:rsid w:val="00812B96"/>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9CB"/>
    <w:rsid w:val="00826AD5"/>
    <w:rsid w:val="00826B2F"/>
    <w:rsid w:val="00827611"/>
    <w:rsid w:val="008277AC"/>
    <w:rsid w:val="008278F3"/>
    <w:rsid w:val="0082795C"/>
    <w:rsid w:val="00827972"/>
    <w:rsid w:val="00827BF1"/>
    <w:rsid w:val="00827C3A"/>
    <w:rsid w:val="00827E94"/>
    <w:rsid w:val="00827FDA"/>
    <w:rsid w:val="008303C0"/>
    <w:rsid w:val="00830C5C"/>
    <w:rsid w:val="00830F5B"/>
    <w:rsid w:val="0083144C"/>
    <w:rsid w:val="008316E2"/>
    <w:rsid w:val="00831AEB"/>
    <w:rsid w:val="00831C4E"/>
    <w:rsid w:val="00831D81"/>
    <w:rsid w:val="008321D4"/>
    <w:rsid w:val="0083238D"/>
    <w:rsid w:val="00832575"/>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931"/>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5D"/>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AC7"/>
    <w:rsid w:val="00866D53"/>
    <w:rsid w:val="00866F6F"/>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1BBA"/>
    <w:rsid w:val="008723DC"/>
    <w:rsid w:val="0087246C"/>
    <w:rsid w:val="00872A1E"/>
    <w:rsid w:val="00872D36"/>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8D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6A6A"/>
    <w:rsid w:val="00886A95"/>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357"/>
    <w:rsid w:val="00895475"/>
    <w:rsid w:val="008958F7"/>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1D2E"/>
    <w:rsid w:val="008A20DC"/>
    <w:rsid w:val="008A2170"/>
    <w:rsid w:val="008A224C"/>
    <w:rsid w:val="008A227B"/>
    <w:rsid w:val="008A2536"/>
    <w:rsid w:val="008A2778"/>
    <w:rsid w:val="008A2C3D"/>
    <w:rsid w:val="008A2F44"/>
    <w:rsid w:val="008A3076"/>
    <w:rsid w:val="008A354E"/>
    <w:rsid w:val="008A37C2"/>
    <w:rsid w:val="008A3810"/>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E6B"/>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6CE6"/>
    <w:rsid w:val="008B72EE"/>
    <w:rsid w:val="008B7489"/>
    <w:rsid w:val="008B7867"/>
    <w:rsid w:val="008B7940"/>
    <w:rsid w:val="008B7B1E"/>
    <w:rsid w:val="008C0797"/>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0CAA"/>
    <w:rsid w:val="008E14F8"/>
    <w:rsid w:val="008E177D"/>
    <w:rsid w:val="008E1A7E"/>
    <w:rsid w:val="008E1BCA"/>
    <w:rsid w:val="008E1D0C"/>
    <w:rsid w:val="008E1DC1"/>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E0A"/>
    <w:rsid w:val="008E6F36"/>
    <w:rsid w:val="008E7115"/>
    <w:rsid w:val="008E724B"/>
    <w:rsid w:val="008E795A"/>
    <w:rsid w:val="008E7DF7"/>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2DFF"/>
    <w:rsid w:val="008F3129"/>
    <w:rsid w:val="008F3200"/>
    <w:rsid w:val="008F33E9"/>
    <w:rsid w:val="008F3E17"/>
    <w:rsid w:val="008F43FF"/>
    <w:rsid w:val="008F4410"/>
    <w:rsid w:val="008F4676"/>
    <w:rsid w:val="008F4B77"/>
    <w:rsid w:val="008F4CAB"/>
    <w:rsid w:val="008F4D54"/>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0"/>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A05"/>
    <w:rsid w:val="00906DD6"/>
    <w:rsid w:val="00906FC6"/>
    <w:rsid w:val="00907067"/>
    <w:rsid w:val="00907144"/>
    <w:rsid w:val="009074BE"/>
    <w:rsid w:val="00907678"/>
    <w:rsid w:val="00907853"/>
    <w:rsid w:val="009105CB"/>
    <w:rsid w:val="0091124C"/>
    <w:rsid w:val="0091147B"/>
    <w:rsid w:val="0091194C"/>
    <w:rsid w:val="00911A48"/>
    <w:rsid w:val="00911AF4"/>
    <w:rsid w:val="0091203B"/>
    <w:rsid w:val="0091245C"/>
    <w:rsid w:val="009127F1"/>
    <w:rsid w:val="00912F1D"/>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9C7"/>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39"/>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A67"/>
    <w:rsid w:val="00955C2B"/>
    <w:rsid w:val="00955D61"/>
    <w:rsid w:val="00955FDC"/>
    <w:rsid w:val="00956096"/>
    <w:rsid w:val="00956316"/>
    <w:rsid w:val="0095656E"/>
    <w:rsid w:val="009565BB"/>
    <w:rsid w:val="0095691A"/>
    <w:rsid w:val="009569A6"/>
    <w:rsid w:val="009573F2"/>
    <w:rsid w:val="009575D5"/>
    <w:rsid w:val="00957A93"/>
    <w:rsid w:val="00957C75"/>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0C"/>
    <w:rsid w:val="009646C2"/>
    <w:rsid w:val="00964709"/>
    <w:rsid w:val="0096488E"/>
    <w:rsid w:val="00964979"/>
    <w:rsid w:val="00964A58"/>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F22"/>
    <w:rsid w:val="00967F25"/>
    <w:rsid w:val="009705C2"/>
    <w:rsid w:val="0097063D"/>
    <w:rsid w:val="00970718"/>
    <w:rsid w:val="00970F3D"/>
    <w:rsid w:val="00971042"/>
    <w:rsid w:val="00971298"/>
    <w:rsid w:val="0097168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139"/>
    <w:rsid w:val="009832B4"/>
    <w:rsid w:val="00983910"/>
    <w:rsid w:val="00983E9A"/>
    <w:rsid w:val="00984333"/>
    <w:rsid w:val="0098435A"/>
    <w:rsid w:val="0098436D"/>
    <w:rsid w:val="00984637"/>
    <w:rsid w:val="009849B6"/>
    <w:rsid w:val="00984C11"/>
    <w:rsid w:val="00984CAE"/>
    <w:rsid w:val="00985301"/>
    <w:rsid w:val="009857F6"/>
    <w:rsid w:val="00985834"/>
    <w:rsid w:val="00985E27"/>
    <w:rsid w:val="009863C8"/>
    <w:rsid w:val="00986CCD"/>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1F4E"/>
    <w:rsid w:val="0099231A"/>
    <w:rsid w:val="00992819"/>
    <w:rsid w:val="00992E11"/>
    <w:rsid w:val="00992F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A41"/>
    <w:rsid w:val="009A019A"/>
    <w:rsid w:val="009A0284"/>
    <w:rsid w:val="009A058E"/>
    <w:rsid w:val="009A10C2"/>
    <w:rsid w:val="009A14B7"/>
    <w:rsid w:val="009A1620"/>
    <w:rsid w:val="009A1A6C"/>
    <w:rsid w:val="009A1BD6"/>
    <w:rsid w:val="009A1D63"/>
    <w:rsid w:val="009A2039"/>
    <w:rsid w:val="009A2399"/>
    <w:rsid w:val="009A258B"/>
    <w:rsid w:val="009A282A"/>
    <w:rsid w:val="009A2DBD"/>
    <w:rsid w:val="009A2F14"/>
    <w:rsid w:val="009A3014"/>
    <w:rsid w:val="009A3322"/>
    <w:rsid w:val="009A38BB"/>
    <w:rsid w:val="009A3F23"/>
    <w:rsid w:val="009A40EB"/>
    <w:rsid w:val="009A43C0"/>
    <w:rsid w:val="009A4B1D"/>
    <w:rsid w:val="009A4C24"/>
    <w:rsid w:val="009A4D39"/>
    <w:rsid w:val="009A4F5A"/>
    <w:rsid w:val="009A4FBA"/>
    <w:rsid w:val="009A5019"/>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8FA"/>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492"/>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B9"/>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559"/>
    <w:rsid w:val="009C7626"/>
    <w:rsid w:val="009C78D8"/>
    <w:rsid w:val="009C7DAB"/>
    <w:rsid w:val="009D1205"/>
    <w:rsid w:val="009D14BC"/>
    <w:rsid w:val="009D1F4A"/>
    <w:rsid w:val="009D1FDD"/>
    <w:rsid w:val="009D2053"/>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26"/>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5E26"/>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71"/>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1CB"/>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48D"/>
    <w:rsid w:val="00A22832"/>
    <w:rsid w:val="00A2299F"/>
    <w:rsid w:val="00A22EC0"/>
    <w:rsid w:val="00A23464"/>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4C83"/>
    <w:rsid w:val="00A351F1"/>
    <w:rsid w:val="00A35566"/>
    <w:rsid w:val="00A35C04"/>
    <w:rsid w:val="00A36005"/>
    <w:rsid w:val="00A36141"/>
    <w:rsid w:val="00A365EC"/>
    <w:rsid w:val="00A3673A"/>
    <w:rsid w:val="00A36BC7"/>
    <w:rsid w:val="00A36E2D"/>
    <w:rsid w:val="00A36EF6"/>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BDC"/>
    <w:rsid w:val="00A47E3E"/>
    <w:rsid w:val="00A50247"/>
    <w:rsid w:val="00A509FC"/>
    <w:rsid w:val="00A50CC7"/>
    <w:rsid w:val="00A50DED"/>
    <w:rsid w:val="00A50E2D"/>
    <w:rsid w:val="00A50F83"/>
    <w:rsid w:val="00A512DB"/>
    <w:rsid w:val="00A5134C"/>
    <w:rsid w:val="00A518E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3E70"/>
    <w:rsid w:val="00A53F3F"/>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D75"/>
    <w:rsid w:val="00A57FC5"/>
    <w:rsid w:val="00A60CFE"/>
    <w:rsid w:val="00A60F37"/>
    <w:rsid w:val="00A6112B"/>
    <w:rsid w:val="00A6143B"/>
    <w:rsid w:val="00A61440"/>
    <w:rsid w:val="00A619A5"/>
    <w:rsid w:val="00A61A77"/>
    <w:rsid w:val="00A625A2"/>
    <w:rsid w:val="00A6280E"/>
    <w:rsid w:val="00A62E98"/>
    <w:rsid w:val="00A63023"/>
    <w:rsid w:val="00A631CE"/>
    <w:rsid w:val="00A63205"/>
    <w:rsid w:val="00A638B1"/>
    <w:rsid w:val="00A63D38"/>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211"/>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62F"/>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779"/>
    <w:rsid w:val="00A83866"/>
    <w:rsid w:val="00A83A8A"/>
    <w:rsid w:val="00A83C9B"/>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53D"/>
    <w:rsid w:val="00A87754"/>
    <w:rsid w:val="00A877AC"/>
    <w:rsid w:val="00A87918"/>
    <w:rsid w:val="00A8793F"/>
    <w:rsid w:val="00A87A11"/>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1AF"/>
    <w:rsid w:val="00A97249"/>
    <w:rsid w:val="00A9778C"/>
    <w:rsid w:val="00A97898"/>
    <w:rsid w:val="00AA00DA"/>
    <w:rsid w:val="00AA01BA"/>
    <w:rsid w:val="00AA0336"/>
    <w:rsid w:val="00AA0445"/>
    <w:rsid w:val="00AA07B2"/>
    <w:rsid w:val="00AA0A00"/>
    <w:rsid w:val="00AA0A78"/>
    <w:rsid w:val="00AA0C7B"/>
    <w:rsid w:val="00AA127E"/>
    <w:rsid w:val="00AA15B1"/>
    <w:rsid w:val="00AA169D"/>
    <w:rsid w:val="00AA1798"/>
    <w:rsid w:val="00AA1B6E"/>
    <w:rsid w:val="00AA1B80"/>
    <w:rsid w:val="00AA2158"/>
    <w:rsid w:val="00AA2325"/>
    <w:rsid w:val="00AA2A82"/>
    <w:rsid w:val="00AA2AFD"/>
    <w:rsid w:val="00AA2C9B"/>
    <w:rsid w:val="00AA3410"/>
    <w:rsid w:val="00AA35BB"/>
    <w:rsid w:val="00AA35BC"/>
    <w:rsid w:val="00AA35DC"/>
    <w:rsid w:val="00AA3968"/>
    <w:rsid w:val="00AA3B9D"/>
    <w:rsid w:val="00AA3BB5"/>
    <w:rsid w:val="00AA40B9"/>
    <w:rsid w:val="00AA4287"/>
    <w:rsid w:val="00AA4297"/>
    <w:rsid w:val="00AA4479"/>
    <w:rsid w:val="00AA4815"/>
    <w:rsid w:val="00AA4E29"/>
    <w:rsid w:val="00AA52FF"/>
    <w:rsid w:val="00AA53BF"/>
    <w:rsid w:val="00AA54FE"/>
    <w:rsid w:val="00AA5D5E"/>
    <w:rsid w:val="00AA63BB"/>
    <w:rsid w:val="00AA6593"/>
    <w:rsid w:val="00AA6747"/>
    <w:rsid w:val="00AA6785"/>
    <w:rsid w:val="00AA7677"/>
    <w:rsid w:val="00AA79A0"/>
    <w:rsid w:val="00AA7A65"/>
    <w:rsid w:val="00AA7C1A"/>
    <w:rsid w:val="00AA7CAA"/>
    <w:rsid w:val="00AA7FC6"/>
    <w:rsid w:val="00AB01E5"/>
    <w:rsid w:val="00AB0566"/>
    <w:rsid w:val="00AB05EE"/>
    <w:rsid w:val="00AB0613"/>
    <w:rsid w:val="00AB07ED"/>
    <w:rsid w:val="00AB0CA4"/>
    <w:rsid w:val="00AB1166"/>
    <w:rsid w:val="00AB1691"/>
    <w:rsid w:val="00AB1736"/>
    <w:rsid w:val="00AB1773"/>
    <w:rsid w:val="00AB1BCF"/>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79E"/>
    <w:rsid w:val="00AC4845"/>
    <w:rsid w:val="00AC49A3"/>
    <w:rsid w:val="00AC4C4B"/>
    <w:rsid w:val="00AC4CB0"/>
    <w:rsid w:val="00AC5975"/>
    <w:rsid w:val="00AC5FE6"/>
    <w:rsid w:val="00AC616C"/>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303"/>
    <w:rsid w:val="00AD14CC"/>
    <w:rsid w:val="00AD1EBC"/>
    <w:rsid w:val="00AD1F9B"/>
    <w:rsid w:val="00AD22DB"/>
    <w:rsid w:val="00AD24FE"/>
    <w:rsid w:val="00AD2765"/>
    <w:rsid w:val="00AD28CC"/>
    <w:rsid w:val="00AD3134"/>
    <w:rsid w:val="00AD426A"/>
    <w:rsid w:val="00AD45DD"/>
    <w:rsid w:val="00AD472B"/>
    <w:rsid w:val="00AD4D29"/>
    <w:rsid w:val="00AD5203"/>
    <w:rsid w:val="00AD5328"/>
    <w:rsid w:val="00AD534D"/>
    <w:rsid w:val="00AD5820"/>
    <w:rsid w:val="00AD58B9"/>
    <w:rsid w:val="00AD5B42"/>
    <w:rsid w:val="00AD6101"/>
    <w:rsid w:val="00AD62F4"/>
    <w:rsid w:val="00AD6743"/>
    <w:rsid w:val="00AD6920"/>
    <w:rsid w:val="00AD6B90"/>
    <w:rsid w:val="00AD6BBB"/>
    <w:rsid w:val="00AD6F25"/>
    <w:rsid w:val="00AD725F"/>
    <w:rsid w:val="00AD735E"/>
    <w:rsid w:val="00AD74B2"/>
    <w:rsid w:val="00AD7ADE"/>
    <w:rsid w:val="00AE0244"/>
    <w:rsid w:val="00AE02D9"/>
    <w:rsid w:val="00AE0D0B"/>
    <w:rsid w:val="00AE0E37"/>
    <w:rsid w:val="00AE1242"/>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4C45"/>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58D"/>
    <w:rsid w:val="00B1594D"/>
    <w:rsid w:val="00B15A83"/>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551"/>
    <w:rsid w:val="00B3758C"/>
    <w:rsid w:val="00B3783A"/>
    <w:rsid w:val="00B37996"/>
    <w:rsid w:val="00B379D8"/>
    <w:rsid w:val="00B40089"/>
    <w:rsid w:val="00B4010D"/>
    <w:rsid w:val="00B40324"/>
    <w:rsid w:val="00B40380"/>
    <w:rsid w:val="00B40548"/>
    <w:rsid w:val="00B406F2"/>
    <w:rsid w:val="00B4075D"/>
    <w:rsid w:val="00B40B7D"/>
    <w:rsid w:val="00B40F98"/>
    <w:rsid w:val="00B410C7"/>
    <w:rsid w:val="00B41620"/>
    <w:rsid w:val="00B41E26"/>
    <w:rsid w:val="00B42413"/>
    <w:rsid w:val="00B4292B"/>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47916"/>
    <w:rsid w:val="00B479D6"/>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2D"/>
    <w:rsid w:val="00B532BB"/>
    <w:rsid w:val="00B5352D"/>
    <w:rsid w:val="00B53641"/>
    <w:rsid w:val="00B537D5"/>
    <w:rsid w:val="00B53E31"/>
    <w:rsid w:val="00B542DE"/>
    <w:rsid w:val="00B542E4"/>
    <w:rsid w:val="00B545B1"/>
    <w:rsid w:val="00B545CD"/>
    <w:rsid w:val="00B545E5"/>
    <w:rsid w:val="00B5474F"/>
    <w:rsid w:val="00B547CF"/>
    <w:rsid w:val="00B54A2B"/>
    <w:rsid w:val="00B54B74"/>
    <w:rsid w:val="00B54F94"/>
    <w:rsid w:val="00B55363"/>
    <w:rsid w:val="00B554AF"/>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690"/>
    <w:rsid w:val="00B63BE7"/>
    <w:rsid w:val="00B63D68"/>
    <w:rsid w:val="00B641E0"/>
    <w:rsid w:val="00B649EE"/>
    <w:rsid w:val="00B64C39"/>
    <w:rsid w:val="00B64D1B"/>
    <w:rsid w:val="00B64EC2"/>
    <w:rsid w:val="00B652E1"/>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287"/>
    <w:rsid w:val="00B73375"/>
    <w:rsid w:val="00B7353C"/>
    <w:rsid w:val="00B73708"/>
    <w:rsid w:val="00B73932"/>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06E"/>
    <w:rsid w:val="00B9020F"/>
    <w:rsid w:val="00B908B3"/>
    <w:rsid w:val="00B90996"/>
    <w:rsid w:val="00B90EA0"/>
    <w:rsid w:val="00B90EE9"/>
    <w:rsid w:val="00B91049"/>
    <w:rsid w:val="00B910FF"/>
    <w:rsid w:val="00B91168"/>
    <w:rsid w:val="00B91259"/>
    <w:rsid w:val="00B913AC"/>
    <w:rsid w:val="00B91731"/>
    <w:rsid w:val="00B9180E"/>
    <w:rsid w:val="00B91901"/>
    <w:rsid w:val="00B91AA2"/>
    <w:rsid w:val="00B91D59"/>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7A9"/>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A8"/>
    <w:rsid w:val="00BB22FF"/>
    <w:rsid w:val="00BB25C3"/>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6E94"/>
    <w:rsid w:val="00BC7C30"/>
    <w:rsid w:val="00BC7C82"/>
    <w:rsid w:val="00BC7D3D"/>
    <w:rsid w:val="00BD0086"/>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49B0"/>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50"/>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AD1"/>
    <w:rsid w:val="00BF0B0D"/>
    <w:rsid w:val="00BF0B56"/>
    <w:rsid w:val="00BF1ABD"/>
    <w:rsid w:val="00BF1D0B"/>
    <w:rsid w:val="00BF1F02"/>
    <w:rsid w:val="00BF1F30"/>
    <w:rsid w:val="00BF206D"/>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B4C"/>
    <w:rsid w:val="00C02B9E"/>
    <w:rsid w:val="00C02D01"/>
    <w:rsid w:val="00C02E5C"/>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79"/>
    <w:rsid w:val="00C0728C"/>
    <w:rsid w:val="00C074D0"/>
    <w:rsid w:val="00C077AD"/>
    <w:rsid w:val="00C07A5E"/>
    <w:rsid w:val="00C07AC3"/>
    <w:rsid w:val="00C07C6D"/>
    <w:rsid w:val="00C07EBB"/>
    <w:rsid w:val="00C07F6C"/>
    <w:rsid w:val="00C100C9"/>
    <w:rsid w:val="00C1014A"/>
    <w:rsid w:val="00C102D6"/>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43"/>
    <w:rsid w:val="00C1419D"/>
    <w:rsid w:val="00C142DE"/>
    <w:rsid w:val="00C14460"/>
    <w:rsid w:val="00C14463"/>
    <w:rsid w:val="00C15417"/>
    <w:rsid w:val="00C15A54"/>
    <w:rsid w:val="00C15B5A"/>
    <w:rsid w:val="00C15D7B"/>
    <w:rsid w:val="00C162D9"/>
    <w:rsid w:val="00C16317"/>
    <w:rsid w:val="00C16557"/>
    <w:rsid w:val="00C16577"/>
    <w:rsid w:val="00C16799"/>
    <w:rsid w:val="00C16CEC"/>
    <w:rsid w:val="00C16FB3"/>
    <w:rsid w:val="00C171AB"/>
    <w:rsid w:val="00C1737C"/>
    <w:rsid w:val="00C174E2"/>
    <w:rsid w:val="00C17A43"/>
    <w:rsid w:val="00C17D63"/>
    <w:rsid w:val="00C17DDF"/>
    <w:rsid w:val="00C17EE3"/>
    <w:rsid w:val="00C20031"/>
    <w:rsid w:val="00C2027C"/>
    <w:rsid w:val="00C20690"/>
    <w:rsid w:val="00C20CF9"/>
    <w:rsid w:val="00C20FE8"/>
    <w:rsid w:val="00C2118C"/>
    <w:rsid w:val="00C21348"/>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564C"/>
    <w:rsid w:val="00C35813"/>
    <w:rsid w:val="00C359F8"/>
    <w:rsid w:val="00C35BD1"/>
    <w:rsid w:val="00C35D52"/>
    <w:rsid w:val="00C35DC7"/>
    <w:rsid w:val="00C3605F"/>
    <w:rsid w:val="00C361CB"/>
    <w:rsid w:val="00C36427"/>
    <w:rsid w:val="00C3644A"/>
    <w:rsid w:val="00C36858"/>
    <w:rsid w:val="00C36C5F"/>
    <w:rsid w:val="00C372BD"/>
    <w:rsid w:val="00C37308"/>
    <w:rsid w:val="00C3743E"/>
    <w:rsid w:val="00C375B0"/>
    <w:rsid w:val="00C37699"/>
    <w:rsid w:val="00C378E3"/>
    <w:rsid w:val="00C3794B"/>
    <w:rsid w:val="00C37AE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26A"/>
    <w:rsid w:val="00C4336A"/>
    <w:rsid w:val="00C435B2"/>
    <w:rsid w:val="00C435BA"/>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CA5"/>
    <w:rsid w:val="00C46F44"/>
    <w:rsid w:val="00C46FDE"/>
    <w:rsid w:val="00C474CA"/>
    <w:rsid w:val="00C47ABD"/>
    <w:rsid w:val="00C47FB1"/>
    <w:rsid w:val="00C509FC"/>
    <w:rsid w:val="00C5118D"/>
    <w:rsid w:val="00C51624"/>
    <w:rsid w:val="00C516C1"/>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494"/>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38A"/>
    <w:rsid w:val="00C71674"/>
    <w:rsid w:val="00C71743"/>
    <w:rsid w:val="00C718DA"/>
    <w:rsid w:val="00C71967"/>
    <w:rsid w:val="00C71ACE"/>
    <w:rsid w:val="00C7203F"/>
    <w:rsid w:val="00C721C7"/>
    <w:rsid w:val="00C72237"/>
    <w:rsid w:val="00C72280"/>
    <w:rsid w:val="00C724D4"/>
    <w:rsid w:val="00C7254C"/>
    <w:rsid w:val="00C7255B"/>
    <w:rsid w:val="00C72886"/>
    <w:rsid w:val="00C72E16"/>
    <w:rsid w:val="00C733B4"/>
    <w:rsid w:val="00C73829"/>
    <w:rsid w:val="00C738C5"/>
    <w:rsid w:val="00C73A2D"/>
    <w:rsid w:val="00C7459C"/>
    <w:rsid w:val="00C74758"/>
    <w:rsid w:val="00C749A1"/>
    <w:rsid w:val="00C74CC1"/>
    <w:rsid w:val="00C74EF8"/>
    <w:rsid w:val="00C74F53"/>
    <w:rsid w:val="00C750FF"/>
    <w:rsid w:val="00C752E9"/>
    <w:rsid w:val="00C75991"/>
    <w:rsid w:val="00C75B83"/>
    <w:rsid w:val="00C7606D"/>
    <w:rsid w:val="00C76129"/>
    <w:rsid w:val="00C761B6"/>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536"/>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3E5"/>
    <w:rsid w:val="00CB4372"/>
    <w:rsid w:val="00CB458F"/>
    <w:rsid w:val="00CB4950"/>
    <w:rsid w:val="00CB4B7D"/>
    <w:rsid w:val="00CB4D8B"/>
    <w:rsid w:val="00CB4EF1"/>
    <w:rsid w:val="00CB5461"/>
    <w:rsid w:val="00CB5844"/>
    <w:rsid w:val="00CB596E"/>
    <w:rsid w:val="00CB5A7C"/>
    <w:rsid w:val="00CB6450"/>
    <w:rsid w:val="00CB6634"/>
    <w:rsid w:val="00CB706E"/>
    <w:rsid w:val="00CB708D"/>
    <w:rsid w:val="00CB70BE"/>
    <w:rsid w:val="00CB76C6"/>
    <w:rsid w:val="00CB7743"/>
    <w:rsid w:val="00CB78A2"/>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402"/>
    <w:rsid w:val="00CC467B"/>
    <w:rsid w:val="00CC4943"/>
    <w:rsid w:val="00CC5E99"/>
    <w:rsid w:val="00CC6210"/>
    <w:rsid w:val="00CC6484"/>
    <w:rsid w:val="00CC64F3"/>
    <w:rsid w:val="00CC6563"/>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3F8D"/>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7D"/>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1B4"/>
    <w:rsid w:val="00CE3873"/>
    <w:rsid w:val="00CE3BEB"/>
    <w:rsid w:val="00CE3C2C"/>
    <w:rsid w:val="00CE3E3B"/>
    <w:rsid w:val="00CE43B3"/>
    <w:rsid w:val="00CE4474"/>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8F9"/>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18"/>
    <w:rsid w:val="00CF4466"/>
    <w:rsid w:val="00CF44AA"/>
    <w:rsid w:val="00CF4568"/>
    <w:rsid w:val="00CF4627"/>
    <w:rsid w:val="00CF4DAF"/>
    <w:rsid w:val="00CF4E76"/>
    <w:rsid w:val="00CF5199"/>
    <w:rsid w:val="00CF55F2"/>
    <w:rsid w:val="00CF5952"/>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26C"/>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2F"/>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1D"/>
    <w:rsid w:val="00D1179F"/>
    <w:rsid w:val="00D11A7D"/>
    <w:rsid w:val="00D1238E"/>
    <w:rsid w:val="00D12554"/>
    <w:rsid w:val="00D125EF"/>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1A2"/>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CAE"/>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70"/>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A23"/>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BE2"/>
    <w:rsid w:val="00D53E05"/>
    <w:rsid w:val="00D53F1A"/>
    <w:rsid w:val="00D54BB9"/>
    <w:rsid w:val="00D54E26"/>
    <w:rsid w:val="00D54F16"/>
    <w:rsid w:val="00D55347"/>
    <w:rsid w:val="00D55715"/>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0BE"/>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29A"/>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34"/>
    <w:rsid w:val="00D94BB5"/>
    <w:rsid w:val="00D9559C"/>
    <w:rsid w:val="00D95924"/>
    <w:rsid w:val="00D95D40"/>
    <w:rsid w:val="00D961F1"/>
    <w:rsid w:val="00D9636E"/>
    <w:rsid w:val="00D964E2"/>
    <w:rsid w:val="00D96963"/>
    <w:rsid w:val="00D97357"/>
    <w:rsid w:val="00D977B3"/>
    <w:rsid w:val="00D977C3"/>
    <w:rsid w:val="00D97A63"/>
    <w:rsid w:val="00D97B92"/>
    <w:rsid w:val="00D97DA3"/>
    <w:rsid w:val="00D97DD4"/>
    <w:rsid w:val="00D97E20"/>
    <w:rsid w:val="00DA0122"/>
    <w:rsid w:val="00DA0177"/>
    <w:rsid w:val="00DA047E"/>
    <w:rsid w:val="00DA049D"/>
    <w:rsid w:val="00DA0554"/>
    <w:rsid w:val="00DA05E4"/>
    <w:rsid w:val="00DA0A6E"/>
    <w:rsid w:val="00DA0C74"/>
    <w:rsid w:val="00DA0DEA"/>
    <w:rsid w:val="00DA0FA5"/>
    <w:rsid w:val="00DA1502"/>
    <w:rsid w:val="00DA15D9"/>
    <w:rsid w:val="00DA172B"/>
    <w:rsid w:val="00DA1850"/>
    <w:rsid w:val="00DA1A03"/>
    <w:rsid w:val="00DA1C51"/>
    <w:rsid w:val="00DA20C3"/>
    <w:rsid w:val="00DA292C"/>
    <w:rsid w:val="00DA2AAD"/>
    <w:rsid w:val="00DA2ADD"/>
    <w:rsid w:val="00DA2CF6"/>
    <w:rsid w:val="00DA2DF5"/>
    <w:rsid w:val="00DA3388"/>
    <w:rsid w:val="00DA3542"/>
    <w:rsid w:val="00DA356A"/>
    <w:rsid w:val="00DA360F"/>
    <w:rsid w:val="00DA3E04"/>
    <w:rsid w:val="00DA4271"/>
    <w:rsid w:val="00DA44DA"/>
    <w:rsid w:val="00DA4881"/>
    <w:rsid w:val="00DA48A9"/>
    <w:rsid w:val="00DA495F"/>
    <w:rsid w:val="00DA4A24"/>
    <w:rsid w:val="00DA4C83"/>
    <w:rsid w:val="00DA4E30"/>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2EF"/>
    <w:rsid w:val="00DB36F5"/>
    <w:rsid w:val="00DB38E6"/>
    <w:rsid w:val="00DB396C"/>
    <w:rsid w:val="00DB3B60"/>
    <w:rsid w:val="00DB3C59"/>
    <w:rsid w:val="00DB4215"/>
    <w:rsid w:val="00DB49EE"/>
    <w:rsid w:val="00DB4AF4"/>
    <w:rsid w:val="00DB4B6A"/>
    <w:rsid w:val="00DB581F"/>
    <w:rsid w:val="00DB58B0"/>
    <w:rsid w:val="00DB5C8E"/>
    <w:rsid w:val="00DB5F0E"/>
    <w:rsid w:val="00DB62B3"/>
    <w:rsid w:val="00DB662D"/>
    <w:rsid w:val="00DB6686"/>
    <w:rsid w:val="00DB6A93"/>
    <w:rsid w:val="00DB6B0B"/>
    <w:rsid w:val="00DB6E66"/>
    <w:rsid w:val="00DB703B"/>
    <w:rsid w:val="00DB714D"/>
    <w:rsid w:val="00DB75AA"/>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14"/>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C91"/>
    <w:rsid w:val="00DD5DC5"/>
    <w:rsid w:val="00DD644C"/>
    <w:rsid w:val="00DD65B2"/>
    <w:rsid w:val="00DD68CA"/>
    <w:rsid w:val="00DD69DC"/>
    <w:rsid w:val="00DD6C37"/>
    <w:rsid w:val="00DD6DA7"/>
    <w:rsid w:val="00DD7039"/>
    <w:rsid w:val="00DD72D7"/>
    <w:rsid w:val="00DD78A4"/>
    <w:rsid w:val="00DD7C29"/>
    <w:rsid w:val="00DE0442"/>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758"/>
    <w:rsid w:val="00DE3B94"/>
    <w:rsid w:val="00DE3D4F"/>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429"/>
    <w:rsid w:val="00DF0875"/>
    <w:rsid w:val="00DF08AD"/>
    <w:rsid w:val="00DF0B02"/>
    <w:rsid w:val="00DF0C02"/>
    <w:rsid w:val="00DF0D1D"/>
    <w:rsid w:val="00DF0DAA"/>
    <w:rsid w:val="00DF0EB2"/>
    <w:rsid w:val="00DF13A6"/>
    <w:rsid w:val="00DF1585"/>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6B30"/>
    <w:rsid w:val="00DF7211"/>
    <w:rsid w:val="00DF7443"/>
    <w:rsid w:val="00DF75BF"/>
    <w:rsid w:val="00DF77D0"/>
    <w:rsid w:val="00DF7B5F"/>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6"/>
    <w:rsid w:val="00E063BE"/>
    <w:rsid w:val="00E064D8"/>
    <w:rsid w:val="00E06840"/>
    <w:rsid w:val="00E068DB"/>
    <w:rsid w:val="00E0709E"/>
    <w:rsid w:val="00E0713A"/>
    <w:rsid w:val="00E0719B"/>
    <w:rsid w:val="00E075E2"/>
    <w:rsid w:val="00E103CD"/>
    <w:rsid w:val="00E104D8"/>
    <w:rsid w:val="00E105BC"/>
    <w:rsid w:val="00E10779"/>
    <w:rsid w:val="00E108B5"/>
    <w:rsid w:val="00E10DE1"/>
    <w:rsid w:val="00E10DEE"/>
    <w:rsid w:val="00E11054"/>
    <w:rsid w:val="00E11446"/>
    <w:rsid w:val="00E1199B"/>
    <w:rsid w:val="00E11B7C"/>
    <w:rsid w:val="00E11BF1"/>
    <w:rsid w:val="00E11D50"/>
    <w:rsid w:val="00E11D59"/>
    <w:rsid w:val="00E11DAD"/>
    <w:rsid w:val="00E11E28"/>
    <w:rsid w:val="00E11E59"/>
    <w:rsid w:val="00E1200B"/>
    <w:rsid w:val="00E12599"/>
    <w:rsid w:val="00E1287C"/>
    <w:rsid w:val="00E129B7"/>
    <w:rsid w:val="00E129C8"/>
    <w:rsid w:val="00E12C8E"/>
    <w:rsid w:val="00E12D60"/>
    <w:rsid w:val="00E134F3"/>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17FDB"/>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BA"/>
    <w:rsid w:val="00E404EE"/>
    <w:rsid w:val="00E4069F"/>
    <w:rsid w:val="00E407A8"/>
    <w:rsid w:val="00E40A98"/>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AB5"/>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0B"/>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0D4"/>
    <w:rsid w:val="00E72370"/>
    <w:rsid w:val="00E723ED"/>
    <w:rsid w:val="00E72400"/>
    <w:rsid w:val="00E72B4E"/>
    <w:rsid w:val="00E72D87"/>
    <w:rsid w:val="00E73061"/>
    <w:rsid w:val="00E7309D"/>
    <w:rsid w:val="00E730B0"/>
    <w:rsid w:val="00E730D5"/>
    <w:rsid w:val="00E731A4"/>
    <w:rsid w:val="00E73371"/>
    <w:rsid w:val="00E7359F"/>
    <w:rsid w:val="00E738FA"/>
    <w:rsid w:val="00E739EC"/>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5D5"/>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20"/>
    <w:rsid w:val="00E9473A"/>
    <w:rsid w:val="00E947C2"/>
    <w:rsid w:val="00E94817"/>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24"/>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4F59"/>
    <w:rsid w:val="00EA505A"/>
    <w:rsid w:val="00EA513D"/>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514"/>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7F8"/>
    <w:rsid w:val="00EB5BBD"/>
    <w:rsid w:val="00EB603C"/>
    <w:rsid w:val="00EB6586"/>
    <w:rsid w:val="00EB68AA"/>
    <w:rsid w:val="00EB6963"/>
    <w:rsid w:val="00EB6999"/>
    <w:rsid w:val="00EB6ABA"/>
    <w:rsid w:val="00EB6B98"/>
    <w:rsid w:val="00EB6DF3"/>
    <w:rsid w:val="00EB6E97"/>
    <w:rsid w:val="00EB6F94"/>
    <w:rsid w:val="00EB7701"/>
    <w:rsid w:val="00EB7AD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7DA"/>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1F72"/>
    <w:rsid w:val="00ED2268"/>
    <w:rsid w:val="00ED2F27"/>
    <w:rsid w:val="00ED2FF0"/>
    <w:rsid w:val="00ED31C6"/>
    <w:rsid w:val="00ED33E7"/>
    <w:rsid w:val="00ED3774"/>
    <w:rsid w:val="00ED3BF2"/>
    <w:rsid w:val="00ED3D80"/>
    <w:rsid w:val="00ED3DDB"/>
    <w:rsid w:val="00ED3ECC"/>
    <w:rsid w:val="00ED3FAB"/>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7F"/>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48B"/>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BEC"/>
    <w:rsid w:val="00EF1D83"/>
    <w:rsid w:val="00EF21A2"/>
    <w:rsid w:val="00EF2660"/>
    <w:rsid w:val="00EF27ED"/>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898"/>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473"/>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4A"/>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697F"/>
    <w:rsid w:val="00F3711A"/>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324"/>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532D"/>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689"/>
    <w:rsid w:val="00F647A1"/>
    <w:rsid w:val="00F6494F"/>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282"/>
    <w:rsid w:val="00F673BD"/>
    <w:rsid w:val="00F67A31"/>
    <w:rsid w:val="00F67A5A"/>
    <w:rsid w:val="00F67B61"/>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95B"/>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27"/>
    <w:rsid w:val="00F951F2"/>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ABA"/>
    <w:rsid w:val="00FA0B6D"/>
    <w:rsid w:val="00FA0E70"/>
    <w:rsid w:val="00FA0EA6"/>
    <w:rsid w:val="00FA1001"/>
    <w:rsid w:val="00FA149C"/>
    <w:rsid w:val="00FA1E72"/>
    <w:rsid w:val="00FA2168"/>
    <w:rsid w:val="00FA240F"/>
    <w:rsid w:val="00FA28FB"/>
    <w:rsid w:val="00FA2A75"/>
    <w:rsid w:val="00FA2DD0"/>
    <w:rsid w:val="00FA2E4F"/>
    <w:rsid w:val="00FA2F8C"/>
    <w:rsid w:val="00FA3174"/>
    <w:rsid w:val="00FA33B2"/>
    <w:rsid w:val="00FA3617"/>
    <w:rsid w:val="00FA3636"/>
    <w:rsid w:val="00FA3A7F"/>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0FF5"/>
    <w:rsid w:val="00FB171B"/>
    <w:rsid w:val="00FB181C"/>
    <w:rsid w:val="00FB1920"/>
    <w:rsid w:val="00FB1A0A"/>
    <w:rsid w:val="00FB1A9B"/>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8A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4FA"/>
    <w:rsid w:val="00FC5932"/>
    <w:rsid w:val="00FC59B6"/>
    <w:rsid w:val="00FC5D35"/>
    <w:rsid w:val="00FC6097"/>
    <w:rsid w:val="00FC60B5"/>
    <w:rsid w:val="00FC6192"/>
    <w:rsid w:val="00FC64E3"/>
    <w:rsid w:val="00FC6613"/>
    <w:rsid w:val="00FC666D"/>
    <w:rsid w:val="00FC6711"/>
    <w:rsid w:val="00FC69B9"/>
    <w:rsid w:val="00FC69F5"/>
    <w:rsid w:val="00FC7340"/>
    <w:rsid w:val="00FC73B6"/>
    <w:rsid w:val="00FC73E8"/>
    <w:rsid w:val="00FC7572"/>
    <w:rsid w:val="00FC76A2"/>
    <w:rsid w:val="00FC785C"/>
    <w:rsid w:val="00FC7921"/>
    <w:rsid w:val="00FC7B45"/>
    <w:rsid w:val="00FC7EF4"/>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3CA"/>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AB5"/>
    <w:rsid w:val="00FE6B4A"/>
    <w:rsid w:val="00FE709C"/>
    <w:rsid w:val="00FE71C0"/>
    <w:rsid w:val="00FE72B2"/>
    <w:rsid w:val="00FE73AE"/>
    <w:rsid w:val="00FE76DD"/>
    <w:rsid w:val="00FE77A9"/>
    <w:rsid w:val="00FE78B7"/>
    <w:rsid w:val="00FE7909"/>
    <w:rsid w:val="00FE7ADC"/>
    <w:rsid w:val="00FE7CA7"/>
    <w:rsid w:val="00FF0370"/>
    <w:rsid w:val="00FF086C"/>
    <w:rsid w:val="00FF08CB"/>
    <w:rsid w:val="00FF0C15"/>
    <w:rsid w:val="00FF104B"/>
    <w:rsid w:val="00FF10F1"/>
    <w:rsid w:val="00FF1212"/>
    <w:rsid w:val="00FF14D4"/>
    <w:rsid w:val="00FF16F6"/>
    <w:rsid w:val="00FF203A"/>
    <w:rsid w:val="00FF2073"/>
    <w:rsid w:val="00FF2339"/>
    <w:rsid w:val="00FF2460"/>
    <w:rsid w:val="00FF2C3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05BAFE-0245-4A67-B303-B5770FAF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B71"/>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Alt+1,Alt+11,Alt+12,Alt+13"/>
    <w:next w:val="a"/>
    <w:qFormat/>
    <w:pPr>
      <w:keepNext/>
      <w:keepLines/>
      <w:numPr>
        <w:numId w:val="9"/>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2"/>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3"/>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4"/>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5"/>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7"/>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table" w:styleId="afc">
    <w:name w:val="Table Contemporary"/>
    <w:basedOn w:val="a1"/>
    <w:rsid w:val="004F6C8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D3">
    <w:name w:val="Table 3D effects 3"/>
    <w:basedOn w:val="a1"/>
    <w:rsid w:val="004F6C8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Grid Table Light"/>
    <w:basedOn w:val="a1"/>
    <w:uiPriority w:val="40"/>
    <w:rsid w:val="004F6C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Table Classic 1"/>
    <w:basedOn w:val="a1"/>
    <w:rsid w:val="00DB32E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e">
    <w:name w:val="Strong"/>
    <w:uiPriority w:val="22"/>
    <w:qFormat/>
    <w:rsid w:val="00CE78F9"/>
    <w:rPr>
      <w:b/>
      <w:bCs/>
    </w:rPr>
  </w:style>
  <w:style w:type="paragraph" w:customStyle="1" w:styleId="xmsonormal">
    <w:name w:val="xmsonormal"/>
    <w:basedOn w:val="a"/>
    <w:rsid w:val="0012320C"/>
    <w:pPr>
      <w:spacing w:before="100" w:beforeAutospacing="1" w:after="100" w:afterAutospacing="1"/>
    </w:pPr>
    <w:rPr>
      <w:rFonts w:ascii="Calibri" w:eastAsia="Calibri" w:hAnsi="Calibri" w:cs="Calibri"/>
      <w:sz w:val="22"/>
      <w:szCs w:val="22"/>
      <w:lang w:val="en-US"/>
    </w:rPr>
  </w:style>
  <w:style w:type="character" w:customStyle="1" w:styleId="apple-converted-space">
    <w:name w:val="apple-converted-space"/>
    <w:basedOn w:val="a0"/>
    <w:qFormat/>
    <w:rsid w:val="00AA2AFD"/>
  </w:style>
  <w:style w:type="character" w:customStyle="1" w:styleId="BodyTextfirstgraphChar">
    <w:name w:val="Body Text (first graph) Char"/>
    <w:basedOn w:val="a0"/>
    <w:link w:val="BodyTextfirstgraph"/>
    <w:locked/>
    <w:rsid w:val="00023A24"/>
    <w:rPr>
      <w:rFonts w:ascii="Batang" w:eastAsia="Batang"/>
    </w:rPr>
  </w:style>
  <w:style w:type="paragraph" w:customStyle="1" w:styleId="BodyTextfirstgraph">
    <w:name w:val="Body Text (first graph)"/>
    <w:basedOn w:val="a"/>
    <w:link w:val="BodyTextfirstgraphChar"/>
    <w:qFormat/>
    <w:rsid w:val="00023A24"/>
    <w:pPr>
      <w:spacing w:before="30" w:after="30"/>
      <w:jc w:val="both"/>
    </w:pPr>
    <w:rPr>
      <w:rFonts w:ascii="Batang" w:eastAsia="Batang"/>
      <w:lang w:val="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8B6CE6"/>
    <w:rPr>
      <w:rFonts w:ascii="Arial" w:hAnsi="Arial"/>
      <w:sz w:val="28"/>
      <w:lang w:val="en-GB"/>
    </w:rPr>
  </w:style>
  <w:style w:type="character" w:styleId="aff">
    <w:name w:val="Placeholder Text"/>
    <w:basedOn w:val="a0"/>
    <w:uiPriority w:val="99"/>
    <w:semiHidden/>
    <w:rsid w:val="00FC54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74086258">
      <w:bodyDiv w:val="1"/>
      <w:marLeft w:val="0"/>
      <w:marRight w:val="0"/>
      <w:marTop w:val="0"/>
      <w:marBottom w:val="0"/>
      <w:divBdr>
        <w:top w:val="none" w:sz="0" w:space="0" w:color="auto"/>
        <w:left w:val="none" w:sz="0" w:space="0" w:color="auto"/>
        <w:bottom w:val="none" w:sz="0" w:space="0" w:color="auto"/>
        <w:right w:val="none" w:sz="0" w:space="0" w:color="auto"/>
      </w:divBdr>
    </w:div>
    <w:div w:id="9740660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19423992">
      <w:bodyDiv w:val="1"/>
      <w:marLeft w:val="0"/>
      <w:marRight w:val="0"/>
      <w:marTop w:val="0"/>
      <w:marBottom w:val="0"/>
      <w:divBdr>
        <w:top w:val="none" w:sz="0" w:space="0" w:color="auto"/>
        <w:left w:val="none" w:sz="0" w:space="0" w:color="auto"/>
        <w:bottom w:val="none" w:sz="0" w:space="0" w:color="auto"/>
        <w:right w:val="none" w:sz="0" w:space="0" w:color="auto"/>
      </w:divBdr>
      <w:divsChild>
        <w:div w:id="1263295344">
          <w:marLeft w:val="1267"/>
          <w:marRight w:val="0"/>
          <w:marTop w:val="180"/>
          <w:marBottom w:val="0"/>
          <w:divBdr>
            <w:top w:val="none" w:sz="0" w:space="0" w:color="auto"/>
            <w:left w:val="none" w:sz="0" w:space="0" w:color="auto"/>
            <w:bottom w:val="none" w:sz="0" w:space="0" w:color="auto"/>
            <w:right w:val="none" w:sz="0" w:space="0" w:color="auto"/>
          </w:divBdr>
        </w:div>
      </w:divsChild>
    </w:div>
    <w:div w:id="162938235">
      <w:bodyDiv w:val="1"/>
      <w:marLeft w:val="0"/>
      <w:marRight w:val="0"/>
      <w:marTop w:val="0"/>
      <w:marBottom w:val="0"/>
      <w:divBdr>
        <w:top w:val="none" w:sz="0" w:space="0" w:color="auto"/>
        <w:left w:val="none" w:sz="0" w:space="0" w:color="auto"/>
        <w:bottom w:val="none" w:sz="0" w:space="0" w:color="auto"/>
        <w:right w:val="none" w:sz="0" w:space="0" w:color="auto"/>
      </w:divBdr>
      <w:divsChild>
        <w:div w:id="48069184">
          <w:marLeft w:val="720"/>
          <w:marRight w:val="0"/>
          <w:marTop w:val="0"/>
          <w:marBottom w:val="0"/>
          <w:divBdr>
            <w:top w:val="none" w:sz="0" w:space="0" w:color="auto"/>
            <w:left w:val="none" w:sz="0" w:space="0" w:color="auto"/>
            <w:bottom w:val="none" w:sz="0" w:space="0" w:color="auto"/>
            <w:right w:val="none" w:sz="0" w:space="0" w:color="auto"/>
          </w:divBdr>
        </w:div>
      </w:divsChild>
    </w:div>
    <w:div w:id="179591280">
      <w:bodyDiv w:val="1"/>
      <w:marLeft w:val="0"/>
      <w:marRight w:val="0"/>
      <w:marTop w:val="0"/>
      <w:marBottom w:val="0"/>
      <w:divBdr>
        <w:top w:val="none" w:sz="0" w:space="0" w:color="auto"/>
        <w:left w:val="none" w:sz="0" w:space="0" w:color="auto"/>
        <w:bottom w:val="none" w:sz="0" w:space="0" w:color="auto"/>
        <w:right w:val="none" w:sz="0" w:space="0" w:color="auto"/>
      </w:divBdr>
      <w:divsChild>
        <w:div w:id="1051198201">
          <w:marLeft w:val="1267"/>
          <w:marRight w:val="0"/>
          <w:marTop w:val="180"/>
          <w:marBottom w:val="0"/>
          <w:divBdr>
            <w:top w:val="none" w:sz="0" w:space="0" w:color="auto"/>
            <w:left w:val="none" w:sz="0" w:space="0" w:color="auto"/>
            <w:bottom w:val="none" w:sz="0" w:space="0" w:color="auto"/>
            <w:right w:val="none" w:sz="0" w:space="0" w:color="auto"/>
          </w:divBdr>
        </w:div>
        <w:div w:id="1173881323">
          <w:marLeft w:val="1699"/>
          <w:marRight w:val="0"/>
          <w:marTop w:val="120"/>
          <w:marBottom w:val="0"/>
          <w:divBdr>
            <w:top w:val="none" w:sz="0" w:space="0" w:color="auto"/>
            <w:left w:val="none" w:sz="0" w:space="0" w:color="auto"/>
            <w:bottom w:val="none" w:sz="0" w:space="0" w:color="auto"/>
            <w:right w:val="none" w:sz="0" w:space="0" w:color="auto"/>
          </w:divBdr>
        </w:div>
      </w:divsChild>
    </w:div>
    <w:div w:id="228660678">
      <w:bodyDiv w:val="1"/>
      <w:marLeft w:val="0"/>
      <w:marRight w:val="0"/>
      <w:marTop w:val="0"/>
      <w:marBottom w:val="0"/>
      <w:divBdr>
        <w:top w:val="none" w:sz="0" w:space="0" w:color="auto"/>
        <w:left w:val="none" w:sz="0" w:space="0" w:color="auto"/>
        <w:bottom w:val="none" w:sz="0" w:space="0" w:color="auto"/>
        <w:right w:val="none" w:sz="0" w:space="0" w:color="auto"/>
      </w:divBdr>
    </w:div>
    <w:div w:id="259920410">
      <w:bodyDiv w:val="1"/>
      <w:marLeft w:val="0"/>
      <w:marRight w:val="0"/>
      <w:marTop w:val="0"/>
      <w:marBottom w:val="0"/>
      <w:divBdr>
        <w:top w:val="none" w:sz="0" w:space="0" w:color="auto"/>
        <w:left w:val="none" w:sz="0" w:space="0" w:color="auto"/>
        <w:bottom w:val="none" w:sz="0" w:space="0" w:color="auto"/>
        <w:right w:val="none" w:sz="0" w:space="0" w:color="auto"/>
      </w:divBdr>
      <w:divsChild>
        <w:div w:id="200171604">
          <w:marLeft w:val="432"/>
          <w:marRight w:val="0"/>
          <w:marTop w:val="240"/>
          <w:marBottom w:val="0"/>
          <w:divBdr>
            <w:top w:val="none" w:sz="0" w:space="0" w:color="auto"/>
            <w:left w:val="none" w:sz="0" w:space="0" w:color="auto"/>
            <w:bottom w:val="none" w:sz="0" w:space="0" w:color="auto"/>
            <w:right w:val="none" w:sz="0" w:space="0" w:color="auto"/>
          </w:divBdr>
        </w:div>
      </w:divsChild>
    </w:div>
    <w:div w:id="267353866">
      <w:bodyDiv w:val="1"/>
      <w:marLeft w:val="0"/>
      <w:marRight w:val="0"/>
      <w:marTop w:val="0"/>
      <w:marBottom w:val="0"/>
      <w:divBdr>
        <w:top w:val="none" w:sz="0" w:space="0" w:color="auto"/>
        <w:left w:val="none" w:sz="0" w:space="0" w:color="auto"/>
        <w:bottom w:val="none" w:sz="0" w:space="0" w:color="auto"/>
        <w:right w:val="none" w:sz="0" w:space="0" w:color="auto"/>
      </w:divBdr>
    </w:div>
    <w:div w:id="303046526">
      <w:bodyDiv w:val="1"/>
      <w:marLeft w:val="0"/>
      <w:marRight w:val="0"/>
      <w:marTop w:val="0"/>
      <w:marBottom w:val="0"/>
      <w:divBdr>
        <w:top w:val="none" w:sz="0" w:space="0" w:color="auto"/>
        <w:left w:val="none" w:sz="0" w:space="0" w:color="auto"/>
        <w:bottom w:val="none" w:sz="0" w:space="0" w:color="auto"/>
        <w:right w:val="none" w:sz="0" w:space="0" w:color="auto"/>
      </w:divBdr>
      <w:divsChild>
        <w:div w:id="243539440">
          <w:marLeft w:val="432"/>
          <w:marRight w:val="0"/>
          <w:marTop w:val="240"/>
          <w:marBottom w:val="0"/>
          <w:divBdr>
            <w:top w:val="none" w:sz="0" w:space="0" w:color="auto"/>
            <w:left w:val="none" w:sz="0" w:space="0" w:color="auto"/>
            <w:bottom w:val="none" w:sz="0" w:space="0" w:color="auto"/>
            <w:right w:val="none" w:sz="0" w:space="0" w:color="auto"/>
          </w:divBdr>
        </w:div>
        <w:div w:id="466166570">
          <w:marLeft w:val="432"/>
          <w:marRight w:val="0"/>
          <w:marTop w:val="240"/>
          <w:marBottom w:val="0"/>
          <w:divBdr>
            <w:top w:val="none" w:sz="0" w:space="0" w:color="auto"/>
            <w:left w:val="none" w:sz="0" w:space="0" w:color="auto"/>
            <w:bottom w:val="none" w:sz="0" w:space="0" w:color="auto"/>
            <w:right w:val="none" w:sz="0" w:space="0" w:color="auto"/>
          </w:divBdr>
        </w:div>
        <w:div w:id="1160848871">
          <w:marLeft w:val="432"/>
          <w:marRight w:val="0"/>
          <w:marTop w:val="240"/>
          <w:marBottom w:val="0"/>
          <w:divBdr>
            <w:top w:val="none" w:sz="0" w:space="0" w:color="auto"/>
            <w:left w:val="none" w:sz="0" w:space="0" w:color="auto"/>
            <w:bottom w:val="none" w:sz="0" w:space="0" w:color="auto"/>
            <w:right w:val="none" w:sz="0" w:space="0" w:color="auto"/>
          </w:divBdr>
        </w:div>
        <w:div w:id="1559976873">
          <w:marLeft w:val="432"/>
          <w:marRight w:val="0"/>
          <w:marTop w:val="240"/>
          <w:marBottom w:val="0"/>
          <w:divBdr>
            <w:top w:val="none" w:sz="0" w:space="0" w:color="auto"/>
            <w:left w:val="none" w:sz="0" w:space="0" w:color="auto"/>
            <w:bottom w:val="none" w:sz="0" w:space="0" w:color="auto"/>
            <w:right w:val="none" w:sz="0" w:space="0" w:color="auto"/>
          </w:divBdr>
        </w:div>
      </w:divsChild>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07638221">
      <w:bodyDiv w:val="1"/>
      <w:marLeft w:val="0"/>
      <w:marRight w:val="0"/>
      <w:marTop w:val="0"/>
      <w:marBottom w:val="0"/>
      <w:divBdr>
        <w:top w:val="none" w:sz="0" w:space="0" w:color="auto"/>
        <w:left w:val="none" w:sz="0" w:space="0" w:color="auto"/>
        <w:bottom w:val="none" w:sz="0" w:space="0" w:color="auto"/>
        <w:right w:val="none" w:sz="0" w:space="0" w:color="auto"/>
      </w:divBdr>
      <w:divsChild>
        <w:div w:id="956369260">
          <w:marLeft w:val="1267"/>
          <w:marRight w:val="0"/>
          <w:marTop w:val="180"/>
          <w:marBottom w:val="0"/>
          <w:divBdr>
            <w:top w:val="none" w:sz="0" w:space="0" w:color="auto"/>
            <w:left w:val="none" w:sz="0" w:space="0" w:color="auto"/>
            <w:bottom w:val="none" w:sz="0" w:space="0" w:color="auto"/>
            <w:right w:val="none" w:sz="0" w:space="0" w:color="auto"/>
          </w:divBdr>
        </w:div>
        <w:div w:id="1948348012">
          <w:marLeft w:val="1267"/>
          <w:marRight w:val="0"/>
          <w:marTop w:val="180"/>
          <w:marBottom w:val="0"/>
          <w:divBdr>
            <w:top w:val="none" w:sz="0" w:space="0" w:color="auto"/>
            <w:left w:val="none" w:sz="0" w:space="0" w:color="auto"/>
            <w:bottom w:val="none" w:sz="0" w:space="0" w:color="auto"/>
            <w:right w:val="none" w:sz="0" w:space="0" w:color="auto"/>
          </w:divBdr>
        </w:div>
        <w:div w:id="2025009766">
          <w:marLeft w:val="1267"/>
          <w:marRight w:val="0"/>
          <w:marTop w:val="180"/>
          <w:marBottom w:val="0"/>
          <w:divBdr>
            <w:top w:val="none" w:sz="0" w:space="0" w:color="auto"/>
            <w:left w:val="none" w:sz="0" w:space="0" w:color="auto"/>
            <w:bottom w:val="none" w:sz="0" w:space="0" w:color="auto"/>
            <w:right w:val="none" w:sz="0" w:space="0" w:color="auto"/>
          </w:divBdr>
        </w:div>
      </w:divsChild>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8789609">
      <w:bodyDiv w:val="1"/>
      <w:marLeft w:val="0"/>
      <w:marRight w:val="0"/>
      <w:marTop w:val="0"/>
      <w:marBottom w:val="0"/>
      <w:divBdr>
        <w:top w:val="none" w:sz="0" w:space="0" w:color="auto"/>
        <w:left w:val="none" w:sz="0" w:space="0" w:color="auto"/>
        <w:bottom w:val="none" w:sz="0" w:space="0" w:color="auto"/>
        <w:right w:val="none" w:sz="0" w:space="0" w:color="auto"/>
      </w:divBdr>
      <w:divsChild>
        <w:div w:id="125855929">
          <w:marLeft w:val="1166"/>
          <w:marRight w:val="0"/>
          <w:marTop w:val="86"/>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53203331">
      <w:bodyDiv w:val="1"/>
      <w:marLeft w:val="0"/>
      <w:marRight w:val="0"/>
      <w:marTop w:val="0"/>
      <w:marBottom w:val="0"/>
      <w:divBdr>
        <w:top w:val="none" w:sz="0" w:space="0" w:color="auto"/>
        <w:left w:val="none" w:sz="0" w:space="0" w:color="auto"/>
        <w:bottom w:val="none" w:sz="0" w:space="0" w:color="auto"/>
        <w:right w:val="none" w:sz="0" w:space="0" w:color="auto"/>
      </w:divBdr>
      <w:divsChild>
        <w:div w:id="1286883818">
          <w:marLeft w:val="432"/>
          <w:marRight w:val="0"/>
          <w:marTop w:val="240"/>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10481654">
      <w:bodyDiv w:val="1"/>
      <w:marLeft w:val="0"/>
      <w:marRight w:val="0"/>
      <w:marTop w:val="0"/>
      <w:marBottom w:val="0"/>
      <w:divBdr>
        <w:top w:val="none" w:sz="0" w:space="0" w:color="auto"/>
        <w:left w:val="none" w:sz="0" w:space="0" w:color="auto"/>
        <w:bottom w:val="none" w:sz="0" w:space="0" w:color="auto"/>
        <w:right w:val="none" w:sz="0" w:space="0" w:color="auto"/>
      </w:divBdr>
      <w:divsChild>
        <w:div w:id="35928811">
          <w:marLeft w:val="446"/>
          <w:marRight w:val="0"/>
          <w:marTop w:val="0"/>
          <w:marBottom w:val="0"/>
          <w:divBdr>
            <w:top w:val="none" w:sz="0" w:space="0" w:color="auto"/>
            <w:left w:val="none" w:sz="0" w:space="0" w:color="auto"/>
            <w:bottom w:val="none" w:sz="0" w:space="0" w:color="auto"/>
            <w:right w:val="none" w:sz="0" w:space="0" w:color="auto"/>
          </w:divBdr>
        </w:div>
        <w:div w:id="63645066">
          <w:marLeft w:val="446"/>
          <w:marRight w:val="0"/>
          <w:marTop w:val="0"/>
          <w:marBottom w:val="0"/>
          <w:divBdr>
            <w:top w:val="none" w:sz="0" w:space="0" w:color="auto"/>
            <w:left w:val="none" w:sz="0" w:space="0" w:color="auto"/>
            <w:bottom w:val="none" w:sz="0" w:space="0" w:color="auto"/>
            <w:right w:val="none" w:sz="0" w:space="0" w:color="auto"/>
          </w:divBdr>
        </w:div>
        <w:div w:id="201938582">
          <w:marLeft w:val="1166"/>
          <w:marRight w:val="0"/>
          <w:marTop w:val="0"/>
          <w:marBottom w:val="0"/>
          <w:divBdr>
            <w:top w:val="none" w:sz="0" w:space="0" w:color="auto"/>
            <w:left w:val="none" w:sz="0" w:space="0" w:color="auto"/>
            <w:bottom w:val="none" w:sz="0" w:space="0" w:color="auto"/>
            <w:right w:val="none" w:sz="0" w:space="0" w:color="auto"/>
          </w:divBdr>
        </w:div>
        <w:div w:id="1245454544">
          <w:marLeft w:val="1166"/>
          <w:marRight w:val="0"/>
          <w:marTop w:val="0"/>
          <w:marBottom w:val="0"/>
          <w:divBdr>
            <w:top w:val="none" w:sz="0" w:space="0" w:color="auto"/>
            <w:left w:val="none" w:sz="0" w:space="0" w:color="auto"/>
            <w:bottom w:val="none" w:sz="0" w:space="0" w:color="auto"/>
            <w:right w:val="none" w:sz="0" w:space="0" w:color="auto"/>
          </w:divBdr>
        </w:div>
        <w:div w:id="1571578791">
          <w:marLeft w:val="446"/>
          <w:marRight w:val="0"/>
          <w:marTop w:val="0"/>
          <w:marBottom w:val="0"/>
          <w:divBdr>
            <w:top w:val="none" w:sz="0" w:space="0" w:color="auto"/>
            <w:left w:val="none" w:sz="0" w:space="0" w:color="auto"/>
            <w:bottom w:val="none" w:sz="0" w:space="0" w:color="auto"/>
            <w:right w:val="none" w:sz="0" w:space="0" w:color="auto"/>
          </w:divBdr>
        </w:div>
        <w:div w:id="2093114196">
          <w:marLeft w:val="446"/>
          <w:marRight w:val="0"/>
          <w:marTop w:val="0"/>
          <w:marBottom w:val="0"/>
          <w:divBdr>
            <w:top w:val="none" w:sz="0" w:space="0" w:color="auto"/>
            <w:left w:val="none" w:sz="0" w:space="0" w:color="auto"/>
            <w:bottom w:val="none" w:sz="0" w:space="0" w:color="auto"/>
            <w:right w:val="none" w:sz="0" w:space="0" w:color="auto"/>
          </w:divBdr>
        </w:div>
      </w:divsChild>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91078302">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24914483">
      <w:bodyDiv w:val="1"/>
      <w:marLeft w:val="0"/>
      <w:marRight w:val="0"/>
      <w:marTop w:val="0"/>
      <w:marBottom w:val="0"/>
      <w:divBdr>
        <w:top w:val="none" w:sz="0" w:space="0" w:color="auto"/>
        <w:left w:val="none" w:sz="0" w:space="0" w:color="auto"/>
        <w:bottom w:val="none" w:sz="0" w:space="0" w:color="auto"/>
        <w:right w:val="none" w:sz="0" w:space="0" w:color="auto"/>
      </w:divBdr>
    </w:div>
    <w:div w:id="735054290">
      <w:bodyDiv w:val="1"/>
      <w:marLeft w:val="0"/>
      <w:marRight w:val="0"/>
      <w:marTop w:val="0"/>
      <w:marBottom w:val="0"/>
      <w:divBdr>
        <w:top w:val="none" w:sz="0" w:space="0" w:color="auto"/>
        <w:left w:val="none" w:sz="0" w:space="0" w:color="auto"/>
        <w:bottom w:val="none" w:sz="0" w:space="0" w:color="auto"/>
        <w:right w:val="none" w:sz="0" w:space="0" w:color="auto"/>
      </w:divBdr>
      <w:divsChild>
        <w:div w:id="1348018464">
          <w:marLeft w:val="1440"/>
          <w:marRight w:val="0"/>
          <w:marTop w:val="0"/>
          <w:marBottom w:val="0"/>
          <w:divBdr>
            <w:top w:val="none" w:sz="0" w:space="0" w:color="auto"/>
            <w:left w:val="none" w:sz="0" w:space="0" w:color="auto"/>
            <w:bottom w:val="none" w:sz="0" w:space="0" w:color="auto"/>
            <w:right w:val="none" w:sz="0" w:space="0" w:color="auto"/>
          </w:divBdr>
        </w:div>
        <w:div w:id="1917126234">
          <w:marLeft w:val="1440"/>
          <w:marRight w:val="0"/>
          <w:marTop w:val="0"/>
          <w:marBottom w:val="0"/>
          <w:divBdr>
            <w:top w:val="none" w:sz="0" w:space="0" w:color="auto"/>
            <w:left w:val="none" w:sz="0" w:space="0" w:color="auto"/>
            <w:bottom w:val="none" w:sz="0" w:space="0" w:color="auto"/>
            <w:right w:val="none" w:sz="0" w:space="0" w:color="auto"/>
          </w:divBdr>
        </w:div>
      </w:divsChild>
    </w:div>
    <w:div w:id="736979712">
      <w:bodyDiv w:val="1"/>
      <w:marLeft w:val="0"/>
      <w:marRight w:val="0"/>
      <w:marTop w:val="0"/>
      <w:marBottom w:val="0"/>
      <w:divBdr>
        <w:top w:val="none" w:sz="0" w:space="0" w:color="auto"/>
        <w:left w:val="none" w:sz="0" w:space="0" w:color="auto"/>
        <w:bottom w:val="none" w:sz="0" w:space="0" w:color="auto"/>
        <w:right w:val="none" w:sz="0" w:space="0" w:color="auto"/>
      </w:divBdr>
      <w:divsChild>
        <w:div w:id="163977382">
          <w:marLeft w:val="432"/>
          <w:marRight w:val="0"/>
          <w:marTop w:val="240"/>
          <w:marBottom w:val="0"/>
          <w:divBdr>
            <w:top w:val="none" w:sz="0" w:space="0" w:color="auto"/>
            <w:left w:val="none" w:sz="0" w:space="0" w:color="auto"/>
            <w:bottom w:val="none" w:sz="0" w:space="0" w:color="auto"/>
            <w:right w:val="none" w:sz="0" w:space="0" w:color="auto"/>
          </w:divBdr>
        </w:div>
      </w:divsChild>
    </w:div>
    <w:div w:id="757025053">
      <w:bodyDiv w:val="1"/>
      <w:marLeft w:val="0"/>
      <w:marRight w:val="0"/>
      <w:marTop w:val="0"/>
      <w:marBottom w:val="0"/>
      <w:divBdr>
        <w:top w:val="none" w:sz="0" w:space="0" w:color="auto"/>
        <w:left w:val="none" w:sz="0" w:space="0" w:color="auto"/>
        <w:bottom w:val="none" w:sz="0" w:space="0" w:color="auto"/>
        <w:right w:val="none" w:sz="0" w:space="0" w:color="auto"/>
      </w:divBdr>
      <w:divsChild>
        <w:div w:id="386952483">
          <w:marLeft w:val="432"/>
          <w:marRight w:val="0"/>
          <w:marTop w:val="240"/>
          <w:marBottom w:val="0"/>
          <w:divBdr>
            <w:top w:val="none" w:sz="0" w:space="0" w:color="auto"/>
            <w:left w:val="none" w:sz="0" w:space="0" w:color="auto"/>
            <w:bottom w:val="none" w:sz="0" w:space="0" w:color="auto"/>
            <w:right w:val="none" w:sz="0" w:space="0" w:color="auto"/>
          </w:divBdr>
        </w:div>
        <w:div w:id="922908041">
          <w:marLeft w:val="432"/>
          <w:marRight w:val="0"/>
          <w:marTop w:val="240"/>
          <w:marBottom w:val="0"/>
          <w:divBdr>
            <w:top w:val="none" w:sz="0" w:space="0" w:color="auto"/>
            <w:left w:val="none" w:sz="0" w:space="0" w:color="auto"/>
            <w:bottom w:val="none" w:sz="0" w:space="0" w:color="auto"/>
            <w:right w:val="none" w:sz="0" w:space="0" w:color="auto"/>
          </w:divBdr>
        </w:div>
        <w:div w:id="1468628421">
          <w:marLeft w:val="432"/>
          <w:marRight w:val="0"/>
          <w:marTop w:val="240"/>
          <w:marBottom w:val="0"/>
          <w:divBdr>
            <w:top w:val="none" w:sz="0" w:space="0" w:color="auto"/>
            <w:left w:val="none" w:sz="0" w:space="0" w:color="auto"/>
            <w:bottom w:val="none" w:sz="0" w:space="0" w:color="auto"/>
            <w:right w:val="none" w:sz="0" w:space="0" w:color="auto"/>
          </w:divBdr>
        </w:div>
        <w:div w:id="1785078442">
          <w:marLeft w:val="432"/>
          <w:marRight w:val="0"/>
          <w:marTop w:val="240"/>
          <w:marBottom w:val="0"/>
          <w:divBdr>
            <w:top w:val="none" w:sz="0" w:space="0" w:color="auto"/>
            <w:left w:val="none" w:sz="0" w:space="0" w:color="auto"/>
            <w:bottom w:val="none" w:sz="0" w:space="0" w:color="auto"/>
            <w:right w:val="none" w:sz="0" w:space="0" w:color="auto"/>
          </w:divBdr>
        </w:div>
        <w:div w:id="1869878262">
          <w:marLeft w:val="432"/>
          <w:marRight w:val="0"/>
          <w:marTop w:val="240"/>
          <w:marBottom w:val="0"/>
          <w:divBdr>
            <w:top w:val="none" w:sz="0" w:space="0" w:color="auto"/>
            <w:left w:val="none" w:sz="0" w:space="0" w:color="auto"/>
            <w:bottom w:val="none" w:sz="0" w:space="0" w:color="auto"/>
            <w:right w:val="none" w:sz="0" w:space="0" w:color="auto"/>
          </w:divBdr>
        </w:div>
      </w:divsChild>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65998196">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7985780">
      <w:bodyDiv w:val="1"/>
      <w:marLeft w:val="0"/>
      <w:marRight w:val="0"/>
      <w:marTop w:val="0"/>
      <w:marBottom w:val="0"/>
      <w:divBdr>
        <w:top w:val="none" w:sz="0" w:space="0" w:color="auto"/>
        <w:left w:val="none" w:sz="0" w:space="0" w:color="auto"/>
        <w:bottom w:val="none" w:sz="0" w:space="0" w:color="auto"/>
        <w:right w:val="none" w:sz="0" w:space="0" w:color="auto"/>
      </w:divBdr>
    </w:div>
    <w:div w:id="875002435">
      <w:bodyDiv w:val="1"/>
      <w:marLeft w:val="0"/>
      <w:marRight w:val="0"/>
      <w:marTop w:val="0"/>
      <w:marBottom w:val="0"/>
      <w:divBdr>
        <w:top w:val="none" w:sz="0" w:space="0" w:color="auto"/>
        <w:left w:val="none" w:sz="0" w:space="0" w:color="auto"/>
        <w:bottom w:val="none" w:sz="0" w:space="0" w:color="auto"/>
        <w:right w:val="none" w:sz="0" w:space="0" w:color="auto"/>
      </w:divBdr>
    </w:div>
    <w:div w:id="880900981">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88748618">
      <w:bodyDiv w:val="1"/>
      <w:marLeft w:val="0"/>
      <w:marRight w:val="0"/>
      <w:marTop w:val="0"/>
      <w:marBottom w:val="0"/>
      <w:divBdr>
        <w:top w:val="none" w:sz="0" w:space="0" w:color="auto"/>
        <w:left w:val="none" w:sz="0" w:space="0" w:color="auto"/>
        <w:bottom w:val="none" w:sz="0" w:space="0" w:color="auto"/>
        <w:right w:val="none" w:sz="0" w:space="0" w:color="auto"/>
      </w:divBdr>
      <w:divsChild>
        <w:div w:id="1864436054">
          <w:marLeft w:val="1267"/>
          <w:marRight w:val="0"/>
          <w:marTop w:val="180"/>
          <w:marBottom w:val="0"/>
          <w:divBdr>
            <w:top w:val="none" w:sz="0" w:space="0" w:color="auto"/>
            <w:left w:val="none" w:sz="0" w:space="0" w:color="auto"/>
            <w:bottom w:val="none" w:sz="0" w:space="0" w:color="auto"/>
            <w:right w:val="none" w:sz="0" w:space="0" w:color="auto"/>
          </w:divBdr>
        </w:div>
      </w:divsChild>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4865690">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5810804">
      <w:bodyDiv w:val="1"/>
      <w:marLeft w:val="0"/>
      <w:marRight w:val="0"/>
      <w:marTop w:val="0"/>
      <w:marBottom w:val="0"/>
      <w:divBdr>
        <w:top w:val="none" w:sz="0" w:space="0" w:color="auto"/>
        <w:left w:val="none" w:sz="0" w:space="0" w:color="auto"/>
        <w:bottom w:val="none" w:sz="0" w:space="0" w:color="auto"/>
        <w:right w:val="none" w:sz="0" w:space="0" w:color="auto"/>
      </w:divBdr>
      <w:divsChild>
        <w:div w:id="695428731">
          <w:marLeft w:val="432"/>
          <w:marRight w:val="0"/>
          <w:marTop w:val="240"/>
          <w:marBottom w:val="0"/>
          <w:divBdr>
            <w:top w:val="none" w:sz="0" w:space="0" w:color="auto"/>
            <w:left w:val="none" w:sz="0" w:space="0" w:color="auto"/>
            <w:bottom w:val="none" w:sz="0" w:space="0" w:color="auto"/>
            <w:right w:val="none" w:sz="0" w:space="0" w:color="auto"/>
          </w:divBdr>
        </w:div>
        <w:div w:id="981547097">
          <w:marLeft w:val="432"/>
          <w:marRight w:val="0"/>
          <w:marTop w:val="240"/>
          <w:marBottom w:val="0"/>
          <w:divBdr>
            <w:top w:val="none" w:sz="0" w:space="0" w:color="auto"/>
            <w:left w:val="none" w:sz="0" w:space="0" w:color="auto"/>
            <w:bottom w:val="none" w:sz="0" w:space="0" w:color="auto"/>
            <w:right w:val="none" w:sz="0" w:space="0" w:color="auto"/>
          </w:divBdr>
        </w:div>
        <w:div w:id="1345018292">
          <w:marLeft w:val="1267"/>
          <w:marRight w:val="0"/>
          <w:marTop w:val="180"/>
          <w:marBottom w:val="0"/>
          <w:divBdr>
            <w:top w:val="none" w:sz="0" w:space="0" w:color="auto"/>
            <w:left w:val="none" w:sz="0" w:space="0" w:color="auto"/>
            <w:bottom w:val="none" w:sz="0" w:space="0" w:color="auto"/>
            <w:right w:val="none" w:sz="0" w:space="0" w:color="auto"/>
          </w:divBdr>
        </w:div>
        <w:div w:id="1418597769">
          <w:marLeft w:val="1267"/>
          <w:marRight w:val="0"/>
          <w:marTop w:val="180"/>
          <w:marBottom w:val="0"/>
          <w:divBdr>
            <w:top w:val="none" w:sz="0" w:space="0" w:color="auto"/>
            <w:left w:val="none" w:sz="0" w:space="0" w:color="auto"/>
            <w:bottom w:val="none" w:sz="0" w:space="0" w:color="auto"/>
            <w:right w:val="none" w:sz="0" w:space="0" w:color="auto"/>
          </w:divBdr>
        </w:div>
        <w:div w:id="1574311962">
          <w:marLeft w:val="1267"/>
          <w:marRight w:val="0"/>
          <w:marTop w:val="180"/>
          <w:marBottom w:val="0"/>
          <w:divBdr>
            <w:top w:val="none" w:sz="0" w:space="0" w:color="auto"/>
            <w:left w:val="none" w:sz="0" w:space="0" w:color="auto"/>
            <w:bottom w:val="none" w:sz="0" w:space="0" w:color="auto"/>
            <w:right w:val="none" w:sz="0" w:space="0" w:color="auto"/>
          </w:divBdr>
        </w:div>
        <w:div w:id="1594317999">
          <w:marLeft w:val="1267"/>
          <w:marRight w:val="0"/>
          <w:marTop w:val="180"/>
          <w:marBottom w:val="0"/>
          <w:divBdr>
            <w:top w:val="none" w:sz="0" w:space="0" w:color="auto"/>
            <w:left w:val="none" w:sz="0" w:space="0" w:color="auto"/>
            <w:bottom w:val="none" w:sz="0" w:space="0" w:color="auto"/>
            <w:right w:val="none" w:sz="0" w:space="0" w:color="auto"/>
          </w:divBdr>
        </w:div>
        <w:div w:id="1966110156">
          <w:marLeft w:val="432"/>
          <w:marRight w:val="0"/>
          <w:marTop w:val="240"/>
          <w:marBottom w:val="0"/>
          <w:divBdr>
            <w:top w:val="none" w:sz="0" w:space="0" w:color="auto"/>
            <w:left w:val="none" w:sz="0" w:space="0" w:color="auto"/>
            <w:bottom w:val="none" w:sz="0" w:space="0" w:color="auto"/>
            <w:right w:val="none" w:sz="0" w:space="0" w:color="auto"/>
          </w:divBdr>
        </w:div>
        <w:div w:id="2033417266">
          <w:marLeft w:val="432"/>
          <w:marRight w:val="0"/>
          <w:marTop w:val="240"/>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5659170">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022372">
      <w:bodyDiv w:val="1"/>
      <w:marLeft w:val="0"/>
      <w:marRight w:val="0"/>
      <w:marTop w:val="0"/>
      <w:marBottom w:val="0"/>
      <w:divBdr>
        <w:top w:val="none" w:sz="0" w:space="0" w:color="auto"/>
        <w:left w:val="none" w:sz="0" w:space="0" w:color="auto"/>
        <w:bottom w:val="none" w:sz="0" w:space="0" w:color="auto"/>
        <w:right w:val="none" w:sz="0" w:space="0" w:color="auto"/>
      </w:divBdr>
      <w:divsChild>
        <w:div w:id="345400416">
          <w:marLeft w:val="432"/>
          <w:marRight w:val="0"/>
          <w:marTop w:val="240"/>
          <w:marBottom w:val="0"/>
          <w:divBdr>
            <w:top w:val="none" w:sz="0" w:space="0" w:color="auto"/>
            <w:left w:val="none" w:sz="0" w:space="0" w:color="auto"/>
            <w:bottom w:val="none" w:sz="0" w:space="0" w:color="auto"/>
            <w:right w:val="none" w:sz="0" w:space="0" w:color="auto"/>
          </w:divBdr>
        </w:div>
        <w:div w:id="599410746">
          <w:marLeft w:val="432"/>
          <w:marRight w:val="0"/>
          <w:marTop w:val="240"/>
          <w:marBottom w:val="0"/>
          <w:divBdr>
            <w:top w:val="none" w:sz="0" w:space="0" w:color="auto"/>
            <w:left w:val="none" w:sz="0" w:space="0" w:color="auto"/>
            <w:bottom w:val="none" w:sz="0" w:space="0" w:color="auto"/>
            <w:right w:val="none" w:sz="0" w:space="0" w:color="auto"/>
          </w:divBdr>
        </w:div>
        <w:div w:id="1585188276">
          <w:marLeft w:val="432"/>
          <w:marRight w:val="0"/>
          <w:marTop w:val="240"/>
          <w:marBottom w:val="0"/>
          <w:divBdr>
            <w:top w:val="none" w:sz="0" w:space="0" w:color="auto"/>
            <w:left w:val="none" w:sz="0" w:space="0" w:color="auto"/>
            <w:bottom w:val="none" w:sz="0" w:space="0" w:color="auto"/>
            <w:right w:val="none" w:sz="0" w:space="0" w:color="auto"/>
          </w:divBdr>
        </w:div>
        <w:div w:id="2118912811">
          <w:marLeft w:val="432"/>
          <w:marRight w:val="0"/>
          <w:marTop w:val="240"/>
          <w:marBottom w:val="0"/>
          <w:divBdr>
            <w:top w:val="none" w:sz="0" w:space="0" w:color="auto"/>
            <w:left w:val="none" w:sz="0" w:space="0" w:color="auto"/>
            <w:bottom w:val="none" w:sz="0" w:space="0" w:color="auto"/>
            <w:right w:val="none" w:sz="0" w:space="0" w:color="auto"/>
          </w:divBdr>
        </w:div>
      </w:divsChild>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90073101">
      <w:bodyDiv w:val="1"/>
      <w:marLeft w:val="0"/>
      <w:marRight w:val="0"/>
      <w:marTop w:val="0"/>
      <w:marBottom w:val="0"/>
      <w:divBdr>
        <w:top w:val="none" w:sz="0" w:space="0" w:color="auto"/>
        <w:left w:val="none" w:sz="0" w:space="0" w:color="auto"/>
        <w:bottom w:val="none" w:sz="0" w:space="0" w:color="auto"/>
        <w:right w:val="none" w:sz="0" w:space="0" w:color="auto"/>
      </w:divBdr>
    </w:div>
    <w:div w:id="1203707875">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33270854">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7716780">
      <w:bodyDiv w:val="1"/>
      <w:marLeft w:val="0"/>
      <w:marRight w:val="0"/>
      <w:marTop w:val="0"/>
      <w:marBottom w:val="0"/>
      <w:divBdr>
        <w:top w:val="none" w:sz="0" w:space="0" w:color="auto"/>
        <w:left w:val="none" w:sz="0" w:space="0" w:color="auto"/>
        <w:bottom w:val="none" w:sz="0" w:space="0" w:color="auto"/>
        <w:right w:val="none" w:sz="0" w:space="0" w:color="auto"/>
      </w:divBdr>
      <w:divsChild>
        <w:div w:id="2095591206">
          <w:marLeft w:val="1166"/>
          <w:marRight w:val="0"/>
          <w:marTop w:val="86"/>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08881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24118409">
      <w:bodyDiv w:val="1"/>
      <w:marLeft w:val="0"/>
      <w:marRight w:val="0"/>
      <w:marTop w:val="0"/>
      <w:marBottom w:val="0"/>
      <w:divBdr>
        <w:top w:val="none" w:sz="0" w:space="0" w:color="auto"/>
        <w:left w:val="none" w:sz="0" w:space="0" w:color="auto"/>
        <w:bottom w:val="none" w:sz="0" w:space="0" w:color="auto"/>
        <w:right w:val="none" w:sz="0" w:space="0" w:color="auto"/>
      </w:divBdr>
      <w:divsChild>
        <w:div w:id="724723905">
          <w:marLeft w:val="432"/>
          <w:marRight w:val="0"/>
          <w:marTop w:val="240"/>
          <w:marBottom w:val="0"/>
          <w:divBdr>
            <w:top w:val="none" w:sz="0" w:space="0" w:color="auto"/>
            <w:left w:val="none" w:sz="0" w:space="0" w:color="auto"/>
            <w:bottom w:val="none" w:sz="0" w:space="0" w:color="auto"/>
            <w:right w:val="none" w:sz="0" w:space="0" w:color="auto"/>
          </w:divBdr>
        </w:div>
      </w:divsChild>
    </w:div>
    <w:div w:id="1334845025">
      <w:bodyDiv w:val="1"/>
      <w:marLeft w:val="0"/>
      <w:marRight w:val="0"/>
      <w:marTop w:val="0"/>
      <w:marBottom w:val="0"/>
      <w:divBdr>
        <w:top w:val="none" w:sz="0" w:space="0" w:color="auto"/>
        <w:left w:val="none" w:sz="0" w:space="0" w:color="auto"/>
        <w:bottom w:val="none" w:sz="0" w:space="0" w:color="auto"/>
        <w:right w:val="none" w:sz="0" w:space="0" w:color="auto"/>
      </w:divBdr>
      <w:divsChild>
        <w:div w:id="1363749673">
          <w:marLeft w:val="432"/>
          <w:marRight w:val="0"/>
          <w:marTop w:val="240"/>
          <w:marBottom w:val="0"/>
          <w:divBdr>
            <w:top w:val="none" w:sz="0" w:space="0" w:color="auto"/>
            <w:left w:val="none" w:sz="0" w:space="0" w:color="auto"/>
            <w:bottom w:val="none" w:sz="0" w:space="0" w:color="auto"/>
            <w:right w:val="none" w:sz="0" w:space="0" w:color="auto"/>
          </w:divBdr>
        </w:div>
      </w:divsChild>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58241129">
      <w:bodyDiv w:val="1"/>
      <w:marLeft w:val="0"/>
      <w:marRight w:val="0"/>
      <w:marTop w:val="0"/>
      <w:marBottom w:val="0"/>
      <w:divBdr>
        <w:top w:val="none" w:sz="0" w:space="0" w:color="auto"/>
        <w:left w:val="none" w:sz="0" w:space="0" w:color="auto"/>
        <w:bottom w:val="none" w:sz="0" w:space="0" w:color="auto"/>
        <w:right w:val="none" w:sz="0" w:space="0" w:color="auto"/>
      </w:divBdr>
      <w:divsChild>
        <w:div w:id="180780149">
          <w:marLeft w:val="1267"/>
          <w:marRight w:val="0"/>
          <w:marTop w:val="180"/>
          <w:marBottom w:val="0"/>
          <w:divBdr>
            <w:top w:val="none" w:sz="0" w:space="0" w:color="auto"/>
            <w:left w:val="none" w:sz="0" w:space="0" w:color="auto"/>
            <w:bottom w:val="none" w:sz="0" w:space="0" w:color="auto"/>
            <w:right w:val="none" w:sz="0" w:space="0" w:color="auto"/>
          </w:divBdr>
        </w:div>
        <w:div w:id="758454135">
          <w:marLeft w:val="1267"/>
          <w:marRight w:val="0"/>
          <w:marTop w:val="180"/>
          <w:marBottom w:val="0"/>
          <w:divBdr>
            <w:top w:val="none" w:sz="0" w:space="0" w:color="auto"/>
            <w:left w:val="none" w:sz="0" w:space="0" w:color="auto"/>
            <w:bottom w:val="none" w:sz="0" w:space="0" w:color="auto"/>
            <w:right w:val="none" w:sz="0" w:space="0" w:color="auto"/>
          </w:divBdr>
        </w:div>
      </w:divsChild>
    </w:div>
    <w:div w:id="1375543839">
      <w:bodyDiv w:val="1"/>
      <w:marLeft w:val="0"/>
      <w:marRight w:val="0"/>
      <w:marTop w:val="0"/>
      <w:marBottom w:val="0"/>
      <w:divBdr>
        <w:top w:val="none" w:sz="0" w:space="0" w:color="auto"/>
        <w:left w:val="none" w:sz="0" w:space="0" w:color="auto"/>
        <w:bottom w:val="none" w:sz="0" w:space="0" w:color="auto"/>
        <w:right w:val="none" w:sz="0" w:space="0" w:color="auto"/>
      </w:divBdr>
      <w:divsChild>
        <w:div w:id="201401395">
          <w:marLeft w:val="1267"/>
          <w:marRight w:val="0"/>
          <w:marTop w:val="180"/>
          <w:marBottom w:val="0"/>
          <w:divBdr>
            <w:top w:val="none" w:sz="0" w:space="0" w:color="auto"/>
            <w:left w:val="none" w:sz="0" w:space="0" w:color="auto"/>
            <w:bottom w:val="none" w:sz="0" w:space="0" w:color="auto"/>
            <w:right w:val="none" w:sz="0" w:space="0" w:color="auto"/>
          </w:divBdr>
        </w:div>
        <w:div w:id="733771331">
          <w:marLeft w:val="1267"/>
          <w:marRight w:val="0"/>
          <w:marTop w:val="180"/>
          <w:marBottom w:val="0"/>
          <w:divBdr>
            <w:top w:val="none" w:sz="0" w:space="0" w:color="auto"/>
            <w:left w:val="none" w:sz="0" w:space="0" w:color="auto"/>
            <w:bottom w:val="none" w:sz="0" w:space="0" w:color="auto"/>
            <w:right w:val="none" w:sz="0" w:space="0" w:color="auto"/>
          </w:divBdr>
        </w:div>
        <w:div w:id="1770848491">
          <w:marLeft w:val="1267"/>
          <w:marRight w:val="0"/>
          <w:marTop w:val="180"/>
          <w:marBottom w:val="0"/>
          <w:divBdr>
            <w:top w:val="none" w:sz="0" w:space="0" w:color="auto"/>
            <w:left w:val="none" w:sz="0" w:space="0" w:color="auto"/>
            <w:bottom w:val="none" w:sz="0" w:space="0" w:color="auto"/>
            <w:right w:val="none" w:sz="0" w:space="0" w:color="auto"/>
          </w:divBdr>
        </w:div>
      </w:divsChild>
    </w:div>
    <w:div w:id="1405685684">
      <w:bodyDiv w:val="1"/>
      <w:marLeft w:val="0"/>
      <w:marRight w:val="0"/>
      <w:marTop w:val="0"/>
      <w:marBottom w:val="0"/>
      <w:divBdr>
        <w:top w:val="none" w:sz="0" w:space="0" w:color="auto"/>
        <w:left w:val="none" w:sz="0" w:space="0" w:color="auto"/>
        <w:bottom w:val="none" w:sz="0" w:space="0" w:color="auto"/>
        <w:right w:val="none" w:sz="0" w:space="0" w:color="auto"/>
      </w:divBdr>
    </w:div>
    <w:div w:id="1413965984">
      <w:bodyDiv w:val="1"/>
      <w:marLeft w:val="0"/>
      <w:marRight w:val="0"/>
      <w:marTop w:val="0"/>
      <w:marBottom w:val="0"/>
      <w:divBdr>
        <w:top w:val="none" w:sz="0" w:space="0" w:color="auto"/>
        <w:left w:val="none" w:sz="0" w:space="0" w:color="auto"/>
        <w:bottom w:val="none" w:sz="0" w:space="0" w:color="auto"/>
        <w:right w:val="none" w:sz="0" w:space="0" w:color="auto"/>
      </w:divBdr>
      <w:divsChild>
        <w:div w:id="1143542355">
          <w:marLeft w:val="1555"/>
          <w:marRight w:val="0"/>
          <w:marTop w:val="180"/>
          <w:marBottom w:val="0"/>
          <w:divBdr>
            <w:top w:val="none" w:sz="0" w:space="0" w:color="auto"/>
            <w:left w:val="none" w:sz="0" w:space="0" w:color="auto"/>
            <w:bottom w:val="none" w:sz="0" w:space="0" w:color="auto"/>
            <w:right w:val="none" w:sz="0" w:space="0" w:color="auto"/>
          </w:divBdr>
        </w:div>
        <w:div w:id="1658921602">
          <w:marLeft w:val="1555"/>
          <w:marRight w:val="0"/>
          <w:marTop w:val="180"/>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5537188">
      <w:bodyDiv w:val="1"/>
      <w:marLeft w:val="0"/>
      <w:marRight w:val="0"/>
      <w:marTop w:val="0"/>
      <w:marBottom w:val="0"/>
      <w:divBdr>
        <w:top w:val="none" w:sz="0" w:space="0" w:color="auto"/>
        <w:left w:val="none" w:sz="0" w:space="0" w:color="auto"/>
        <w:bottom w:val="none" w:sz="0" w:space="0" w:color="auto"/>
        <w:right w:val="none" w:sz="0" w:space="0" w:color="auto"/>
      </w:divBdr>
      <w:divsChild>
        <w:div w:id="1607929092">
          <w:marLeft w:val="446"/>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02617410">
      <w:bodyDiv w:val="1"/>
      <w:marLeft w:val="0"/>
      <w:marRight w:val="0"/>
      <w:marTop w:val="0"/>
      <w:marBottom w:val="0"/>
      <w:divBdr>
        <w:top w:val="none" w:sz="0" w:space="0" w:color="auto"/>
        <w:left w:val="none" w:sz="0" w:space="0" w:color="auto"/>
        <w:bottom w:val="none" w:sz="0" w:space="0" w:color="auto"/>
        <w:right w:val="none" w:sz="0" w:space="0" w:color="auto"/>
      </w:divBdr>
    </w:div>
    <w:div w:id="151676963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48376587">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4284026">
      <w:bodyDiv w:val="1"/>
      <w:marLeft w:val="0"/>
      <w:marRight w:val="0"/>
      <w:marTop w:val="0"/>
      <w:marBottom w:val="0"/>
      <w:divBdr>
        <w:top w:val="none" w:sz="0" w:space="0" w:color="auto"/>
        <w:left w:val="none" w:sz="0" w:space="0" w:color="auto"/>
        <w:bottom w:val="none" w:sz="0" w:space="0" w:color="auto"/>
        <w:right w:val="none" w:sz="0" w:space="0" w:color="auto"/>
      </w:divBdr>
      <w:divsChild>
        <w:div w:id="1196886546">
          <w:marLeft w:val="432"/>
          <w:marRight w:val="0"/>
          <w:marTop w:val="240"/>
          <w:marBottom w:val="0"/>
          <w:divBdr>
            <w:top w:val="none" w:sz="0" w:space="0" w:color="auto"/>
            <w:left w:val="none" w:sz="0" w:space="0" w:color="auto"/>
            <w:bottom w:val="none" w:sz="0" w:space="0" w:color="auto"/>
            <w:right w:val="none" w:sz="0" w:space="0" w:color="auto"/>
          </w:divBdr>
        </w:div>
      </w:divsChild>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18583109">
      <w:bodyDiv w:val="1"/>
      <w:marLeft w:val="0"/>
      <w:marRight w:val="0"/>
      <w:marTop w:val="0"/>
      <w:marBottom w:val="0"/>
      <w:divBdr>
        <w:top w:val="none" w:sz="0" w:space="0" w:color="auto"/>
        <w:left w:val="none" w:sz="0" w:space="0" w:color="auto"/>
        <w:bottom w:val="none" w:sz="0" w:space="0" w:color="auto"/>
        <w:right w:val="none" w:sz="0" w:space="0" w:color="auto"/>
      </w:divBdr>
    </w:div>
    <w:div w:id="1744402962">
      <w:bodyDiv w:val="1"/>
      <w:marLeft w:val="0"/>
      <w:marRight w:val="0"/>
      <w:marTop w:val="0"/>
      <w:marBottom w:val="0"/>
      <w:divBdr>
        <w:top w:val="none" w:sz="0" w:space="0" w:color="auto"/>
        <w:left w:val="none" w:sz="0" w:space="0" w:color="auto"/>
        <w:bottom w:val="none" w:sz="0" w:space="0" w:color="auto"/>
        <w:right w:val="none" w:sz="0" w:space="0" w:color="auto"/>
      </w:divBdr>
    </w:div>
    <w:div w:id="1762531867">
      <w:bodyDiv w:val="1"/>
      <w:marLeft w:val="0"/>
      <w:marRight w:val="0"/>
      <w:marTop w:val="0"/>
      <w:marBottom w:val="0"/>
      <w:divBdr>
        <w:top w:val="none" w:sz="0" w:space="0" w:color="auto"/>
        <w:left w:val="none" w:sz="0" w:space="0" w:color="auto"/>
        <w:bottom w:val="none" w:sz="0" w:space="0" w:color="auto"/>
        <w:right w:val="none" w:sz="0" w:space="0" w:color="auto"/>
      </w:divBdr>
      <w:divsChild>
        <w:div w:id="82264675">
          <w:marLeft w:val="446"/>
          <w:marRight w:val="0"/>
          <w:marTop w:val="0"/>
          <w:marBottom w:val="0"/>
          <w:divBdr>
            <w:top w:val="none" w:sz="0" w:space="0" w:color="auto"/>
            <w:left w:val="none" w:sz="0" w:space="0" w:color="auto"/>
            <w:bottom w:val="none" w:sz="0" w:space="0" w:color="auto"/>
            <w:right w:val="none" w:sz="0" w:space="0" w:color="auto"/>
          </w:divBdr>
        </w:div>
      </w:divsChild>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833905993">
      <w:bodyDiv w:val="1"/>
      <w:marLeft w:val="0"/>
      <w:marRight w:val="0"/>
      <w:marTop w:val="0"/>
      <w:marBottom w:val="0"/>
      <w:divBdr>
        <w:top w:val="none" w:sz="0" w:space="0" w:color="auto"/>
        <w:left w:val="none" w:sz="0" w:space="0" w:color="auto"/>
        <w:bottom w:val="none" w:sz="0" w:space="0" w:color="auto"/>
        <w:right w:val="none" w:sz="0" w:space="0" w:color="auto"/>
      </w:divBdr>
      <w:divsChild>
        <w:div w:id="1561288680">
          <w:marLeft w:val="1267"/>
          <w:marRight w:val="0"/>
          <w:marTop w:val="180"/>
          <w:marBottom w:val="0"/>
          <w:divBdr>
            <w:top w:val="none" w:sz="0" w:space="0" w:color="auto"/>
            <w:left w:val="none" w:sz="0" w:space="0" w:color="auto"/>
            <w:bottom w:val="none" w:sz="0" w:space="0" w:color="auto"/>
            <w:right w:val="none" w:sz="0" w:space="0" w:color="auto"/>
          </w:divBdr>
        </w:div>
      </w:divsChild>
    </w:div>
    <w:div w:id="1876233608">
      <w:bodyDiv w:val="1"/>
      <w:marLeft w:val="0"/>
      <w:marRight w:val="0"/>
      <w:marTop w:val="0"/>
      <w:marBottom w:val="0"/>
      <w:divBdr>
        <w:top w:val="none" w:sz="0" w:space="0" w:color="auto"/>
        <w:left w:val="none" w:sz="0" w:space="0" w:color="auto"/>
        <w:bottom w:val="none" w:sz="0" w:space="0" w:color="auto"/>
        <w:right w:val="none" w:sz="0" w:space="0" w:color="auto"/>
      </w:divBdr>
    </w:div>
    <w:div w:id="1890416205">
      <w:bodyDiv w:val="1"/>
      <w:marLeft w:val="0"/>
      <w:marRight w:val="0"/>
      <w:marTop w:val="0"/>
      <w:marBottom w:val="0"/>
      <w:divBdr>
        <w:top w:val="none" w:sz="0" w:space="0" w:color="auto"/>
        <w:left w:val="none" w:sz="0" w:space="0" w:color="auto"/>
        <w:bottom w:val="none" w:sz="0" w:space="0" w:color="auto"/>
        <w:right w:val="none" w:sz="0" w:space="0" w:color="auto"/>
      </w:divBdr>
    </w:div>
    <w:div w:id="1908223149">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51891238">
      <w:bodyDiv w:val="1"/>
      <w:marLeft w:val="0"/>
      <w:marRight w:val="0"/>
      <w:marTop w:val="0"/>
      <w:marBottom w:val="0"/>
      <w:divBdr>
        <w:top w:val="none" w:sz="0" w:space="0" w:color="auto"/>
        <w:left w:val="none" w:sz="0" w:space="0" w:color="auto"/>
        <w:bottom w:val="none" w:sz="0" w:space="0" w:color="auto"/>
        <w:right w:val="none" w:sz="0" w:space="0" w:color="auto"/>
      </w:divBdr>
    </w:div>
    <w:div w:id="19688537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26008877">
      <w:bodyDiv w:val="1"/>
      <w:marLeft w:val="0"/>
      <w:marRight w:val="0"/>
      <w:marTop w:val="0"/>
      <w:marBottom w:val="0"/>
      <w:divBdr>
        <w:top w:val="none" w:sz="0" w:space="0" w:color="auto"/>
        <w:left w:val="none" w:sz="0" w:space="0" w:color="auto"/>
        <w:bottom w:val="none" w:sz="0" w:space="0" w:color="auto"/>
        <w:right w:val="none" w:sz="0" w:space="0" w:color="auto"/>
      </w:divBdr>
    </w:div>
    <w:div w:id="2070303311">
      <w:bodyDiv w:val="1"/>
      <w:marLeft w:val="0"/>
      <w:marRight w:val="0"/>
      <w:marTop w:val="0"/>
      <w:marBottom w:val="0"/>
      <w:divBdr>
        <w:top w:val="none" w:sz="0" w:space="0" w:color="auto"/>
        <w:left w:val="none" w:sz="0" w:space="0" w:color="auto"/>
        <w:bottom w:val="none" w:sz="0" w:space="0" w:color="auto"/>
        <w:right w:val="none" w:sz="0" w:space="0" w:color="auto"/>
      </w:divBdr>
      <w:divsChild>
        <w:div w:id="42605484">
          <w:marLeft w:val="1267"/>
          <w:marRight w:val="0"/>
          <w:marTop w:val="180"/>
          <w:marBottom w:val="0"/>
          <w:divBdr>
            <w:top w:val="none" w:sz="0" w:space="0" w:color="auto"/>
            <w:left w:val="none" w:sz="0" w:space="0" w:color="auto"/>
            <w:bottom w:val="none" w:sz="0" w:space="0" w:color="auto"/>
            <w:right w:val="none" w:sz="0" w:space="0" w:color="auto"/>
          </w:divBdr>
        </w:div>
        <w:div w:id="308949489">
          <w:marLeft w:val="1267"/>
          <w:marRight w:val="0"/>
          <w:marTop w:val="180"/>
          <w:marBottom w:val="0"/>
          <w:divBdr>
            <w:top w:val="none" w:sz="0" w:space="0" w:color="auto"/>
            <w:left w:val="none" w:sz="0" w:space="0" w:color="auto"/>
            <w:bottom w:val="none" w:sz="0" w:space="0" w:color="auto"/>
            <w:right w:val="none" w:sz="0" w:space="0" w:color="auto"/>
          </w:divBdr>
        </w:div>
        <w:div w:id="1253926546">
          <w:marLeft w:val="1267"/>
          <w:marRight w:val="0"/>
          <w:marTop w:val="180"/>
          <w:marBottom w:val="0"/>
          <w:divBdr>
            <w:top w:val="none" w:sz="0" w:space="0" w:color="auto"/>
            <w:left w:val="none" w:sz="0" w:space="0" w:color="auto"/>
            <w:bottom w:val="none" w:sz="0" w:space="0" w:color="auto"/>
            <w:right w:val="none" w:sz="0" w:space="0" w:color="auto"/>
          </w:divBdr>
        </w:div>
        <w:div w:id="1667319414">
          <w:marLeft w:val="1267"/>
          <w:marRight w:val="0"/>
          <w:marTop w:val="180"/>
          <w:marBottom w:val="0"/>
          <w:divBdr>
            <w:top w:val="none" w:sz="0" w:space="0" w:color="auto"/>
            <w:left w:val="none" w:sz="0" w:space="0" w:color="auto"/>
            <w:bottom w:val="none" w:sz="0" w:space="0" w:color="auto"/>
            <w:right w:val="none" w:sz="0" w:space="0" w:color="auto"/>
          </w:divBdr>
        </w:div>
      </w:divsChild>
    </w:div>
    <w:div w:id="2070610654">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347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CCF66-9777-44D9-9F91-CFC909D21CDC}">
  <ds:schemaRefs>
    <ds:schemaRef ds:uri="http://schemas.microsoft.com/office/2006/metadata/longProperties"/>
  </ds:schemaRefs>
</ds:datastoreItem>
</file>

<file path=customXml/itemProps2.xml><?xml version="1.0" encoding="utf-8"?>
<ds:datastoreItem xmlns:ds="http://schemas.openxmlformats.org/officeDocument/2006/customXml" ds:itemID="{A4CD9DC0-D51B-4723-BE42-8876C8DDF195}">
  <ds:schemaRefs>
    <ds:schemaRef ds:uri="http://schemas.microsoft.com/sharepoint/v3/contenttype/forms"/>
  </ds:schemaRefs>
</ds:datastoreItem>
</file>

<file path=customXml/itemProps3.xml><?xml version="1.0" encoding="utf-8"?>
<ds:datastoreItem xmlns:ds="http://schemas.openxmlformats.org/officeDocument/2006/customXml" ds:itemID="{E4D85CFD-E417-4663-92C6-10B28F7A08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74C21E-7F95-4EA6-9766-3035DFCE5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C5F6412-FF15-43E2-B943-678A98F74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1477</TotalTime>
  <Pages>5</Pages>
  <Words>1280</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XR and CG Traffic Modelling</vt:lpstr>
    </vt:vector>
  </TitlesOfParts>
  <Company>MTK</Company>
  <LinksUpToDate>false</LinksUpToDate>
  <CharactersWithSpaces>8559</CharactersWithSpaces>
  <SharedDoc>false</SharedDoc>
  <HyperlinkBase/>
  <HLinks>
    <vt:vector size="36" baseType="variant">
      <vt:variant>
        <vt:i4>3538991</vt:i4>
      </vt:variant>
      <vt:variant>
        <vt:i4>42</vt:i4>
      </vt:variant>
      <vt:variant>
        <vt:i4>0</vt:i4>
      </vt:variant>
      <vt:variant>
        <vt:i4>5</vt:i4>
      </vt:variant>
      <vt:variant>
        <vt:lpwstr>https://ihsmarkit.com/info/0420/rootmetrics-mobile-cloud-gaming-report.html</vt:lpwstr>
      </vt:variant>
      <vt:variant>
        <vt:lpwstr/>
      </vt:variant>
      <vt:variant>
        <vt:i4>7536751</vt:i4>
      </vt:variant>
      <vt:variant>
        <vt:i4>39</vt:i4>
      </vt:variant>
      <vt:variant>
        <vt:i4>0</vt:i4>
      </vt:variant>
      <vt:variant>
        <vt:i4>5</vt:i4>
      </vt:variant>
      <vt:variant>
        <vt:lpwstr>https://ieeexplore.ieee.org/author/37268106100</vt:lpwstr>
      </vt:variant>
      <vt:variant>
        <vt:lpwstr/>
      </vt:variant>
      <vt:variant>
        <vt:i4>7798893</vt:i4>
      </vt:variant>
      <vt:variant>
        <vt:i4>36</vt:i4>
      </vt:variant>
      <vt:variant>
        <vt:i4>0</vt:i4>
      </vt:variant>
      <vt:variant>
        <vt:i4>5</vt:i4>
      </vt:variant>
      <vt:variant>
        <vt:lpwstr>https://ieeexplore.ieee.org/author/37088428277</vt:lpwstr>
      </vt:variant>
      <vt:variant>
        <vt:lpwstr/>
      </vt:variant>
      <vt:variant>
        <vt:i4>7405676</vt:i4>
      </vt:variant>
      <vt:variant>
        <vt:i4>33</vt:i4>
      </vt:variant>
      <vt:variant>
        <vt:i4>0</vt:i4>
      </vt:variant>
      <vt:variant>
        <vt:i4>5</vt:i4>
      </vt:variant>
      <vt:variant>
        <vt:lpwstr>https://ieeexplore.ieee.org/author/37088427093</vt:lpwstr>
      </vt:variant>
      <vt:variant>
        <vt:lpwstr/>
      </vt:variant>
      <vt:variant>
        <vt:i4>3145826</vt:i4>
      </vt:variant>
      <vt:variant>
        <vt:i4>6</vt:i4>
      </vt:variant>
      <vt:variant>
        <vt:i4>0</vt:i4>
      </vt:variant>
      <vt:variant>
        <vt:i4>5</vt:i4>
      </vt:variant>
      <vt:variant>
        <vt:lpwstr>https://docs.nvidia.com/drive/drive_os_5.1.6.1L/nvvib_docs/index.html</vt:lpwstr>
      </vt:variant>
      <vt:variant>
        <vt:lpwstr>page/DRIVE_OS_Linux_SDK_Development_Guide/NvMedia/nvmedia_nvmvid_enc.html</vt:lpwstr>
      </vt:variant>
      <vt:variant>
        <vt:i4>3997753</vt:i4>
      </vt:variant>
      <vt:variant>
        <vt:i4>3</vt:i4>
      </vt:variant>
      <vt:variant>
        <vt:i4>0</vt:i4>
      </vt:variant>
      <vt:variant>
        <vt:i4>5</vt:i4>
      </vt:variant>
      <vt:variant>
        <vt:lpwstr>https://passthroughpo.st/stadias-hidden-limitation-video-encoding/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and CG Traffic Modelling</dc:title>
  <dc:subject>&lt;Title 1; Title 2&gt; (Release 15 |14 | 13 |12)</dc:subject>
  <dc:creator>Abdellatif Salah</dc:creator>
  <cp:keywords>XR CG</cp:keywords>
  <dc:description/>
  <cp:lastModifiedBy>CH Hsieh (謝其軒)</cp:lastModifiedBy>
  <cp:revision>55</cp:revision>
  <cp:lastPrinted>2018-01-16T17:39:00Z</cp:lastPrinted>
  <dcterms:created xsi:type="dcterms:W3CDTF">2021-08-03T08:30:00Z</dcterms:created>
  <dcterms:modified xsi:type="dcterms:W3CDTF">2021-08-06T07:29:00Z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ies>
</file>